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keepNext w:val="0"/>
        <w:keepLines w:val="0"/>
        <w:pageBreakBefore w:val="0"/>
        <w:widowControl/>
        <w:kinsoku/>
        <w:wordWrap/>
        <w:overflowPunct/>
        <w:topLinePunct w:val="0"/>
        <w:autoSpaceDE/>
        <w:autoSpaceDN/>
        <w:bidi w:val="0"/>
        <w:adjustRightInd/>
        <w:snapToGrid/>
        <w:spacing w:before="0" w:after="0" w:line="240" w:lineRule="auto"/>
        <w:ind w:left="0" w:leftChars="0" w:right="0" w:rightChars="0" w:firstLine="0" w:firstLineChars="0"/>
        <w:jc w:val="both"/>
        <w:textAlignment w:val="auto"/>
        <w:outlineLvl w:val="9"/>
        <w:rPr>
          <w:rFonts w:hint="eastAsia" w:eastAsia="黑体"/>
          <w:lang w:val="en-US" w:eastAsia="zh-CN"/>
        </w:rPr>
      </w:pPr>
      <w:r>
        <w:rPr>
          <w:rFonts w:hint="eastAsia"/>
          <w:lang w:val="en-US" w:eastAsia="zh-CN"/>
        </w:rPr>
        <w:t>附件1</w:t>
      </w:r>
    </w:p>
    <w:sdt>
      <w:sdtPr>
        <w:tag w:val="NEW_STAND_NAME"/>
        <w:id w:val="595910757"/>
        <w:lock w:val="sdtLocked"/>
        <w:placeholder>
          <w:docPart w:val="{47c2993b-4168-475a-a7b7-7cd3a08ac4e3}"/>
        </w:placeholder>
      </w:sdtPr>
      <w:sdtContent>
        <w:p>
          <w:pPr>
            <w:pStyle w:val="6"/>
            <w:keepNext w:val="0"/>
            <w:keepLines w:val="0"/>
            <w:pageBreakBefore w:val="0"/>
            <w:widowControl/>
            <w:kinsoku/>
            <w:wordWrap/>
            <w:overflowPunct/>
            <w:topLinePunct w:val="0"/>
            <w:autoSpaceDE/>
            <w:autoSpaceDN/>
            <w:bidi w:val="0"/>
            <w:adjustRightInd/>
            <w:snapToGrid/>
            <w:spacing w:before="0" w:after="0" w:line="240" w:lineRule="auto"/>
            <w:ind w:left="0" w:leftChars="0" w:right="0" w:rightChars="0" w:firstLine="0" w:firstLineChars="0"/>
            <w:jc w:val="center"/>
            <w:textAlignment w:val="auto"/>
            <w:outlineLvl w:val="9"/>
            <w:rPr>
              <w:rFonts w:hint="eastAsia"/>
            </w:rPr>
          </w:pPr>
          <w:bookmarkStart w:id="0" w:name="NEW_STAND_NAME"/>
          <w:bookmarkStart w:id="1" w:name="BookMark4"/>
          <w:r>
            <w:rPr>
              <w:rFonts w:hint="eastAsia"/>
            </w:rPr>
            <w:t>双随机"一业一查"监管工作规范</w:t>
          </w:r>
        </w:p>
      </w:sdtContent>
    </w:sdt>
    <w:bookmarkEnd w:id="0"/>
    <w:p>
      <w:pPr>
        <w:pStyle w:val="7"/>
        <w:spacing w:before="312" w:after="312"/>
      </w:pPr>
      <w:bookmarkStart w:id="2" w:name="_Toc26986530"/>
      <w:bookmarkStart w:id="3" w:name="_Toc24884218"/>
      <w:bookmarkStart w:id="4" w:name="_Toc17233333"/>
      <w:bookmarkStart w:id="5" w:name="_Toc97191423"/>
      <w:bookmarkStart w:id="6" w:name="_Toc24884211"/>
      <w:bookmarkStart w:id="7" w:name="_Toc167894927"/>
      <w:bookmarkStart w:id="8" w:name="_Toc26648465"/>
      <w:bookmarkStart w:id="9" w:name="_Toc174008537"/>
      <w:bookmarkStart w:id="10" w:name="_Toc17233325"/>
      <w:bookmarkStart w:id="11" w:name="_Toc174008585"/>
      <w:bookmarkStart w:id="12" w:name="_Toc26986771"/>
      <w:bookmarkStart w:id="13" w:name="_Toc26718930"/>
      <w:r>
        <w:rPr>
          <w:rFonts w:hint="eastAsia"/>
        </w:rPr>
        <w:t>范围</w:t>
      </w:r>
      <w:bookmarkEnd w:id="2"/>
      <w:bookmarkEnd w:id="3"/>
      <w:bookmarkEnd w:id="4"/>
      <w:bookmarkEnd w:id="5"/>
      <w:bookmarkEnd w:id="6"/>
      <w:bookmarkEnd w:id="7"/>
      <w:bookmarkEnd w:id="8"/>
      <w:bookmarkEnd w:id="9"/>
      <w:bookmarkEnd w:id="10"/>
      <w:bookmarkEnd w:id="11"/>
      <w:bookmarkEnd w:id="12"/>
      <w:bookmarkEnd w:id="13"/>
    </w:p>
    <w:p>
      <w:pPr>
        <w:pStyle w:val="8"/>
        <w:ind w:firstLine="420"/>
      </w:pPr>
      <w:bookmarkStart w:id="14" w:name="_Toc17233326"/>
      <w:bookmarkStart w:id="15" w:name="_Toc17233334"/>
      <w:bookmarkStart w:id="16" w:name="_Toc26648466"/>
      <w:bookmarkStart w:id="17" w:name="_Toc24884219"/>
      <w:bookmarkStart w:id="18" w:name="_Toc24884212"/>
      <w:r>
        <w:rPr>
          <w:rFonts w:hint="eastAsia"/>
        </w:rPr>
        <w:t>本文件规定了双随机“一业一查”监管的基本要求、工作机制、工作保障、监管实施、后续处理。</w:t>
      </w:r>
    </w:p>
    <w:p>
      <w:pPr>
        <w:pStyle w:val="8"/>
        <w:ind w:firstLine="420"/>
      </w:pPr>
      <w:r>
        <w:rPr>
          <w:rFonts w:hint="eastAsia"/>
        </w:rPr>
        <w:t>本文件适用于具有行政监督检查职权的部门开展双随机“一业一查”监管工作。</w:t>
      </w:r>
    </w:p>
    <w:p>
      <w:pPr>
        <w:pStyle w:val="7"/>
        <w:spacing w:before="312" w:after="312"/>
      </w:pPr>
      <w:bookmarkStart w:id="19" w:name="_Toc26718931"/>
      <w:bookmarkStart w:id="20" w:name="_Toc97191424"/>
      <w:bookmarkStart w:id="21" w:name="_Toc26986531"/>
      <w:bookmarkStart w:id="22" w:name="_Toc174008586"/>
      <w:bookmarkStart w:id="23" w:name="_Toc174008538"/>
      <w:bookmarkStart w:id="24" w:name="_Toc167894928"/>
      <w:bookmarkStart w:id="25" w:name="_Toc26986772"/>
      <w:r>
        <w:rPr>
          <w:rFonts w:hint="eastAsia"/>
        </w:rPr>
        <w:t>规范性引用文件</w:t>
      </w:r>
      <w:bookmarkEnd w:id="14"/>
      <w:bookmarkEnd w:id="15"/>
      <w:bookmarkEnd w:id="16"/>
      <w:bookmarkEnd w:id="17"/>
      <w:bookmarkEnd w:id="18"/>
      <w:bookmarkEnd w:id="19"/>
      <w:bookmarkEnd w:id="20"/>
      <w:bookmarkEnd w:id="21"/>
      <w:bookmarkEnd w:id="22"/>
      <w:bookmarkEnd w:id="23"/>
      <w:bookmarkEnd w:id="24"/>
      <w:bookmarkEnd w:id="25"/>
    </w:p>
    <w:sdt>
      <w:sdtPr>
        <w:rPr>
          <w:rFonts w:hint="eastAsia"/>
        </w:rPr>
        <w:id w:val="715848253"/>
        <w:placeholder>
          <w:docPart w:val="{65f27e45-75fb-4d73-9bac-dbbc5932b35f}"/>
        </w:placeholder>
        <w:dropDownList>
          <w:listItem w:displayText="下列文件中的内容通过文中的规范性引用而构成本文件必不可少的条款。其中，注日期的引用文件，仅该日期对应的版本适用于本文件；不注日期的引用文件，其最新版本（包括所有的修改单）适用于本文件。" w:value="下列文件中的内容通过文中的规范性引用而构成本文件必不可少的条款。其中，注日期的引用文件，仅该日期对应的版本适用于本文件；不注日期的引用文件，其最新版本（包括所有的修改单）适用于本文件。"/>
          <w:listItem w:displayText="本文件没有规范性引用文件。" w:value="本文件没有规范性引用文件。"/>
        </w:dropDownList>
      </w:sdtPr>
      <w:sdtEndPr>
        <w:rPr>
          <w:rFonts w:hint="eastAsia"/>
        </w:rPr>
      </w:sdtEndPr>
      <w:sdtContent>
        <w:p>
          <w:pPr>
            <w:pStyle w:val="8"/>
            <w:ind w:firstLine="420"/>
          </w:pPr>
          <w:r>
            <w:rPr>
              <w:rFonts w:hint="eastAsia"/>
            </w:rPr>
            <w:t>本文件没有规范性引用文件。</w:t>
          </w:r>
        </w:p>
      </w:sdtContent>
    </w:sdt>
    <w:p>
      <w:pPr>
        <w:pStyle w:val="7"/>
        <w:spacing w:before="312" w:after="312"/>
      </w:pPr>
      <w:bookmarkStart w:id="26" w:name="_Toc174008587"/>
      <w:bookmarkStart w:id="27" w:name="_Toc167894929"/>
      <w:bookmarkStart w:id="28" w:name="_Toc174008539"/>
      <w:bookmarkStart w:id="29" w:name="_Toc97191425"/>
      <w:r>
        <w:rPr>
          <w:rFonts w:hint="eastAsia"/>
          <w:szCs w:val="21"/>
        </w:rPr>
        <w:t>术语和定义</w:t>
      </w:r>
      <w:bookmarkEnd w:id="26"/>
      <w:bookmarkEnd w:id="27"/>
      <w:bookmarkEnd w:id="28"/>
      <w:bookmarkEnd w:id="29"/>
    </w:p>
    <w:sdt>
      <w:sdtPr>
        <w:id w:val="-1909835108"/>
        <w:placeholder>
          <w:docPart w:val="{10abf09a-9d16-4f64-9f62-6722efe37acf}"/>
        </w:placeholder>
        <w:comboBox>
          <w:listItem w:displayText="请选择适当的引导语" w:value="请选择适当的引导语"/>
          <w:listItem w:displayText="下列术语和定义适用于本文件。" w:value="下列术语和定义适用于本文件。"/>
          <w:listItem w:displayText="……界定的术语和定义适用于本文件。" w:value="……界定的术语和定义适用于本文件。"/>
          <w:listItem w:displayText="……界定的以及下列术语和定义适用于本文件。" w:value="……界定的以及下列术语和定义适用于本文件。"/>
          <w:listItem w:displayText="本文件没有需要界定的术语和定义。" w:value="本文件没有需要界定的术语和定义。"/>
        </w:comboBox>
      </w:sdtPr>
      <w:sdtContent>
        <w:p>
          <w:pPr>
            <w:pStyle w:val="8"/>
            <w:ind w:firstLine="420"/>
          </w:pPr>
          <w:bookmarkStart w:id="30" w:name="_Toc26986532"/>
          <w:bookmarkEnd w:id="30"/>
          <w:r>
            <w:rPr>
              <w:rFonts w:hint="eastAsia"/>
            </w:rPr>
            <w:t>下列术语和定义适用于本文件。</w:t>
          </w:r>
        </w:p>
      </w:sdtContent>
    </w:sdt>
    <w:p>
      <w:pPr>
        <w:pStyle w:val="9"/>
        <w:ind w:left="420" w:hanging="420" w:hangingChars="200"/>
        <w:rPr>
          <w:rFonts w:hint="eastAsia" w:ascii="黑体" w:hAnsi="黑体" w:eastAsia="黑体"/>
        </w:rPr>
      </w:pPr>
    </w:p>
    <w:p>
      <w:pPr>
        <w:pStyle w:val="9"/>
        <w:numPr>
          <w:ilvl w:val="0"/>
          <w:numId w:val="0"/>
        </w:numPr>
        <w:ind w:left="420"/>
        <w:rPr>
          <w:rFonts w:hint="eastAsia" w:ascii="黑体" w:hAnsi="黑体" w:eastAsia="黑体"/>
        </w:rPr>
      </w:pPr>
      <w:r>
        <w:rPr>
          <w:rFonts w:hint="eastAsia" w:ascii="黑体" w:hAnsi="黑体" w:eastAsia="黑体"/>
        </w:rPr>
        <w:t xml:space="preserve">双随机“一业一查”监管 </w:t>
      </w:r>
      <w:r>
        <w:rPr>
          <w:rFonts w:ascii="黑体" w:hAnsi="黑体" w:eastAsia="黑体"/>
        </w:rPr>
        <w:t>double random</w:t>
      </w:r>
      <w:r>
        <w:rPr>
          <w:rFonts w:hint="eastAsia" w:ascii="黑体" w:hAnsi="黑体" w:eastAsia="黑体"/>
        </w:rPr>
        <w:t>“</w:t>
      </w:r>
      <w:r>
        <w:rPr>
          <w:rFonts w:ascii="黑体" w:hAnsi="黑体" w:eastAsia="黑体"/>
        </w:rPr>
        <w:t>one integrated inspection</w:t>
      </w:r>
      <w:r>
        <w:rPr>
          <w:rFonts w:hint="eastAsia" w:ascii="黑体" w:hAnsi="黑体" w:eastAsia="黑体"/>
        </w:rPr>
        <w:t>”</w:t>
      </w:r>
      <w:r>
        <w:rPr>
          <w:rFonts w:ascii="黑体" w:hAnsi="黑体" w:eastAsia="黑体"/>
        </w:rPr>
        <w:t>supervision</w:t>
      </w:r>
      <w:r>
        <w:rPr>
          <w:rFonts w:hint="eastAsia" w:ascii="黑体" w:hAnsi="黑体" w:eastAsia="黑体"/>
        </w:rPr>
        <w:t xml:space="preserve"> </w:t>
      </w:r>
    </w:p>
    <w:p>
      <w:pPr>
        <w:pStyle w:val="10"/>
        <w:numPr>
          <w:ilvl w:val="0"/>
          <w:numId w:val="0"/>
        </w:numPr>
        <w:ind w:firstLine="420" w:firstLineChars="200"/>
      </w:pPr>
      <w:r>
        <w:rPr>
          <w:rFonts w:hint="eastAsia"/>
        </w:rPr>
        <w:t>在开展“双随机、一公开”监管工作中，发起部门会同参与部门在主管或牵头监管的行业领域，建立健全部门协作联动机制，统筹实施部门联合抽查，取代部门多头、分散检查的一种新型监管模式。</w:t>
      </w:r>
    </w:p>
    <w:p>
      <w:pPr>
        <w:pStyle w:val="12"/>
      </w:pPr>
      <w:r>
        <w:rPr>
          <w:rFonts w:hint="eastAsia"/>
        </w:rPr>
        <w:t>双随机是指随机抽取检查对象、随机选派执法检查人员。</w:t>
      </w:r>
    </w:p>
    <w:p>
      <w:pPr>
        <w:pStyle w:val="12"/>
      </w:pPr>
      <w:r>
        <w:rPr>
          <w:rFonts w:hint="eastAsia"/>
        </w:rPr>
        <w:t>发起部门是行业主管部门或牵头对某一行业领域实施部门联合抽查的部门。</w:t>
      </w:r>
    </w:p>
    <w:p>
      <w:pPr>
        <w:pStyle w:val="12"/>
      </w:pPr>
      <w:r>
        <w:rPr>
          <w:rFonts w:hint="eastAsia"/>
        </w:rPr>
        <w:t>参与部门是对某一行业领域具有行政监督检查职权，应当或需要参与部门联合抽查的部门。</w:t>
      </w:r>
    </w:p>
    <w:p>
      <w:pPr>
        <w:pStyle w:val="7"/>
        <w:spacing w:before="312" w:after="312"/>
        <w:rPr>
          <w:szCs w:val="21"/>
        </w:rPr>
      </w:pPr>
      <w:bookmarkStart w:id="31" w:name="_Toc174008540"/>
      <w:bookmarkStart w:id="32" w:name="_Toc174008588"/>
      <w:r>
        <w:rPr>
          <w:rFonts w:hint="eastAsia" w:hAnsi="黑体"/>
        </w:rPr>
        <w:t>工作机制</w:t>
      </w:r>
      <w:bookmarkEnd w:id="31"/>
      <w:bookmarkEnd w:id="32"/>
    </w:p>
    <w:p>
      <w:pPr>
        <w:pStyle w:val="11"/>
        <w:spacing w:before="156" w:after="156"/>
      </w:pPr>
      <w:bookmarkStart w:id="33" w:name="_Toc167894931"/>
      <w:bookmarkStart w:id="34" w:name="_Toc174008541"/>
      <w:bookmarkStart w:id="35" w:name="_Toc174008589"/>
      <w:r>
        <w:rPr>
          <w:rFonts w:hint="eastAsia"/>
        </w:rPr>
        <w:t>总则</w:t>
      </w:r>
      <w:bookmarkEnd w:id="33"/>
      <w:bookmarkEnd w:id="34"/>
      <w:bookmarkEnd w:id="35"/>
    </w:p>
    <w:p>
      <w:pPr>
        <w:pStyle w:val="13"/>
        <w:numPr>
          <w:ilvl w:val="0"/>
          <w:numId w:val="0"/>
        </w:numPr>
        <w:ind w:firstLine="420" w:firstLineChars="200"/>
      </w:pPr>
      <w:r>
        <w:rPr>
          <w:rFonts w:hint="eastAsia"/>
        </w:rPr>
        <w:t>按照“政府主导、部门牵头、协同联动、统筹推进”的原则，建立健全计划统筹、吹哨响应、议事会商、信息共享、风险监测、分级分类、问题处置、失信惩戒等部门联合监管机制。对</w:t>
      </w:r>
      <w:r>
        <w:t>涉及多</w:t>
      </w:r>
      <w:r>
        <w:rPr>
          <w:rFonts w:hint="eastAsia"/>
        </w:rPr>
        <w:t>个</w:t>
      </w:r>
      <w:r>
        <w:t>部门监管的</w:t>
      </w:r>
      <w:r>
        <w:rPr>
          <w:rFonts w:hint="eastAsia"/>
        </w:rPr>
        <w:t>同一</w:t>
      </w:r>
      <w:r>
        <w:t>行业领域，</w:t>
      </w:r>
      <w:r>
        <w:rPr>
          <w:rFonts w:hint="eastAsia"/>
        </w:rPr>
        <w:t>发起</w:t>
      </w:r>
      <w:r>
        <w:t>部门牵头建立健全</w:t>
      </w:r>
      <w:r>
        <w:rPr>
          <w:rFonts w:hint="eastAsia"/>
        </w:rPr>
        <w:t>“</w:t>
      </w:r>
      <w:r>
        <w:t>一业一查</w:t>
      </w:r>
      <w:r>
        <w:rPr>
          <w:rFonts w:hint="eastAsia"/>
        </w:rPr>
        <w:t>”“</w:t>
      </w:r>
      <w:r>
        <w:t>一业一单</w:t>
      </w:r>
      <w:r>
        <w:rPr>
          <w:rFonts w:hint="eastAsia"/>
        </w:rPr>
        <w:t>”“</w:t>
      </w:r>
      <w:r>
        <w:t>一业一评</w:t>
      </w:r>
      <w:r>
        <w:rPr>
          <w:rFonts w:hint="eastAsia"/>
        </w:rPr>
        <w:t>”“</w:t>
      </w:r>
      <w:r>
        <w:t>一业一册”</w:t>
      </w:r>
      <w:r>
        <w:rPr>
          <w:rFonts w:hint="eastAsia"/>
        </w:rPr>
        <w:t>等</w:t>
      </w:r>
      <w:r>
        <w:t>工作</w:t>
      </w:r>
      <w:r>
        <w:rPr>
          <w:rFonts w:hint="eastAsia"/>
        </w:rPr>
        <w:t>场景化措施</w:t>
      </w:r>
      <w:r>
        <w:t>。</w:t>
      </w:r>
    </w:p>
    <w:p>
      <w:pPr>
        <w:pStyle w:val="12"/>
        <w:numPr>
          <w:ilvl w:val="0"/>
          <w:numId w:val="5"/>
        </w:numPr>
      </w:pPr>
      <w:bookmarkStart w:id="36" w:name="_Hlk173945090"/>
      <w:r>
        <w:rPr>
          <w:rFonts w:hint="eastAsia"/>
        </w:rPr>
        <w:t>“一业一单”是指在随机抽查事项清单基础上，对同一行业领域涉及多个部门的监督检查事项进行整合，形成的部门联合抽查事项清单。</w:t>
      </w:r>
    </w:p>
    <w:bookmarkEnd w:id="36"/>
    <w:p>
      <w:pPr>
        <w:pStyle w:val="12"/>
      </w:pPr>
      <w:r>
        <w:rPr>
          <w:rFonts w:hint="eastAsia"/>
        </w:rPr>
        <w:t>“一业一评”是指结合经营主体通用型信用风险分类结果，建立与行业监管相适应的专业型分级分类评价指标体系，对监管对象进行分级分类。</w:t>
      </w:r>
    </w:p>
    <w:p>
      <w:pPr>
        <w:pStyle w:val="12"/>
      </w:pPr>
      <w:r>
        <w:rPr>
          <w:rFonts w:hint="eastAsia"/>
        </w:rPr>
        <w:t>“一业一册”是指从经营主体视角出发，统一编制合规经营指导手册，一次性告知其合规经营要求，稳定经营主体监管预期。</w:t>
      </w:r>
      <w:bookmarkStart w:id="116" w:name="_GoBack"/>
      <w:bookmarkEnd w:id="116"/>
    </w:p>
    <w:p>
      <w:pPr>
        <w:pStyle w:val="11"/>
        <w:spacing w:before="156" w:after="156"/>
      </w:pPr>
      <w:bookmarkStart w:id="37" w:name="_Toc174008590"/>
      <w:bookmarkStart w:id="38" w:name="_Toc174008542"/>
      <w:bookmarkStart w:id="39" w:name="_Toc167894933"/>
      <w:r>
        <w:rPr>
          <w:rFonts w:hint="eastAsia"/>
        </w:rPr>
        <w:t>计划统筹</w:t>
      </w:r>
      <w:bookmarkEnd w:id="37"/>
      <w:bookmarkEnd w:id="38"/>
      <w:bookmarkEnd w:id="39"/>
    </w:p>
    <w:p>
      <w:pPr>
        <w:pStyle w:val="8"/>
        <w:ind w:firstLine="420"/>
      </w:pPr>
      <w:r>
        <w:rPr>
          <w:rFonts w:hint="eastAsia"/>
        </w:rPr>
        <w:t>在“一业一单”基础上，统筹制定双随机“一业一查”年度工作计划，明确抽查任务、发起及参与部门、抽查事项、抽查对象、抽查比例等，并向社会公开。</w:t>
      </w:r>
    </w:p>
    <w:p>
      <w:pPr>
        <w:pStyle w:val="11"/>
        <w:spacing w:before="156" w:after="156"/>
      </w:pPr>
      <w:bookmarkStart w:id="40" w:name="_Toc174008591"/>
      <w:bookmarkStart w:id="41" w:name="_Toc167894934"/>
      <w:bookmarkStart w:id="42" w:name="_Toc174008543"/>
      <w:r>
        <w:rPr>
          <w:rFonts w:hint="eastAsia"/>
        </w:rPr>
        <w:t>吹哨响应</w:t>
      </w:r>
      <w:bookmarkEnd w:id="40"/>
      <w:bookmarkEnd w:id="41"/>
      <w:bookmarkEnd w:id="42"/>
    </w:p>
    <w:p>
      <w:pPr>
        <w:pStyle w:val="8"/>
        <w:ind w:firstLine="420"/>
      </w:pPr>
      <w:r>
        <w:rPr>
          <w:rFonts w:hint="eastAsia"/>
        </w:rPr>
        <w:t>在方案制定、随机抽取、实地检查、公示处理等环节，建立“发起部门牵头吹哨、参与部门及时响应”的全过程协作联动机制。</w:t>
      </w:r>
    </w:p>
    <w:p>
      <w:pPr>
        <w:pStyle w:val="11"/>
        <w:spacing w:before="156" w:after="156"/>
      </w:pPr>
      <w:bookmarkStart w:id="43" w:name="_Toc174008592"/>
      <w:bookmarkStart w:id="44" w:name="_Toc167894935"/>
      <w:bookmarkStart w:id="45" w:name="_Toc174008544"/>
      <w:r>
        <w:rPr>
          <w:rFonts w:hint="eastAsia"/>
        </w:rPr>
        <w:t>议事会商</w:t>
      </w:r>
      <w:bookmarkEnd w:id="43"/>
      <w:bookmarkEnd w:id="44"/>
      <w:bookmarkEnd w:id="45"/>
    </w:p>
    <w:p>
      <w:pPr>
        <w:pStyle w:val="8"/>
        <w:ind w:firstLine="420"/>
      </w:pPr>
      <w:r>
        <w:rPr>
          <w:rFonts w:hint="eastAsia"/>
        </w:rPr>
        <w:t>建立健全双随机“一业一查”监管常态化议事会商机制，由发起部门召集参与部门定期召开会商会议，通报行业监管整体情况，分析形势，梳理问题，研究对策，部署任务。根据工作需要，可召开临时会议。</w:t>
      </w:r>
    </w:p>
    <w:p>
      <w:pPr>
        <w:pStyle w:val="11"/>
        <w:spacing w:before="156" w:after="156"/>
      </w:pPr>
      <w:bookmarkStart w:id="46" w:name="_Toc167894936"/>
      <w:bookmarkStart w:id="47" w:name="_Toc174008593"/>
      <w:bookmarkStart w:id="48" w:name="_Toc174008545"/>
      <w:r>
        <w:rPr>
          <w:rFonts w:hint="eastAsia"/>
        </w:rPr>
        <w:t>信息共享</w:t>
      </w:r>
      <w:bookmarkEnd w:id="46"/>
      <w:bookmarkEnd w:id="47"/>
      <w:bookmarkEnd w:id="48"/>
    </w:p>
    <w:p>
      <w:pPr>
        <w:pStyle w:val="8"/>
        <w:ind w:firstLine="420"/>
      </w:pPr>
      <w:r>
        <w:rPr>
          <w:rFonts w:hint="eastAsia"/>
        </w:rPr>
        <w:t>推进登记注册部门、审批部门、行业主管部门以及其他监管部门之间的行政许可、行政处罚、抽查检查结果等信息传递交换，建立健全监管部门与人民法院、人民检察院等司法机关之间的信息共享机制，推动跨部门、跨区域、跨层级数据互通共享。</w:t>
      </w:r>
    </w:p>
    <w:p>
      <w:pPr>
        <w:pStyle w:val="11"/>
        <w:spacing w:before="156" w:after="156"/>
      </w:pPr>
      <w:bookmarkStart w:id="49" w:name="_Toc174008546"/>
      <w:bookmarkStart w:id="50" w:name="_Toc174008594"/>
      <w:r>
        <w:rPr>
          <w:rFonts w:hint="eastAsia"/>
        </w:rPr>
        <w:t>风险监测</w:t>
      </w:r>
      <w:bookmarkEnd w:id="49"/>
      <w:bookmarkEnd w:id="50"/>
    </w:p>
    <w:p>
      <w:pPr>
        <w:pStyle w:val="8"/>
        <w:ind w:firstLine="420"/>
      </w:pPr>
      <w:r>
        <w:rPr>
          <w:rFonts w:hint="eastAsia"/>
        </w:rPr>
        <w:t>聚焦问题多发和高风险行业领域，构建双随机“一业一查”风险监测预警机制，及早发现处理风险隐患，对重大预警信息开展综合研判、协同处置。涉及行业性、区域性的重大风险隐患，及时向上级报告。</w:t>
      </w:r>
    </w:p>
    <w:p>
      <w:pPr>
        <w:pStyle w:val="11"/>
        <w:spacing w:before="156" w:after="156"/>
      </w:pPr>
      <w:bookmarkStart w:id="51" w:name="_Toc167894937"/>
      <w:bookmarkStart w:id="52" w:name="_Toc174008595"/>
      <w:bookmarkStart w:id="53" w:name="_Toc174008547"/>
      <w:r>
        <w:rPr>
          <w:rFonts w:hint="eastAsia"/>
        </w:rPr>
        <w:t>分级分类</w:t>
      </w:r>
      <w:bookmarkEnd w:id="51"/>
      <w:bookmarkEnd w:id="52"/>
      <w:bookmarkEnd w:id="53"/>
    </w:p>
    <w:p>
      <w:pPr>
        <w:pStyle w:val="8"/>
        <w:ind w:firstLine="420"/>
      </w:pPr>
      <w:r>
        <w:rPr>
          <w:rFonts w:hint="eastAsia"/>
        </w:rPr>
        <w:t>统筹行业风险防控和经营主体信用风险分类管理，建立与行业监管相适应的专业领域分级分类监管机制，根据监管对象信用风险状况，合理确定、动态调整抽查比例和频次，提升监管的精准性、有效性。</w:t>
      </w:r>
    </w:p>
    <w:p>
      <w:pPr>
        <w:pStyle w:val="11"/>
        <w:spacing w:before="156" w:after="156"/>
      </w:pPr>
      <w:bookmarkStart w:id="54" w:name="_Toc167894939"/>
      <w:bookmarkStart w:id="55" w:name="_Toc174008548"/>
      <w:bookmarkStart w:id="56" w:name="_Toc174008596"/>
      <w:r>
        <w:rPr>
          <w:rFonts w:hint="eastAsia"/>
        </w:rPr>
        <w:t>问题处置</w:t>
      </w:r>
      <w:bookmarkEnd w:id="54"/>
      <w:bookmarkEnd w:id="55"/>
      <w:bookmarkEnd w:id="56"/>
    </w:p>
    <w:p>
      <w:pPr>
        <w:pStyle w:val="8"/>
        <w:ind w:firstLine="420"/>
      </w:pPr>
      <w:r>
        <w:rPr>
          <w:rFonts w:hint="eastAsia"/>
        </w:rPr>
        <w:t>建立健全问题线索分办、转办和查处工作机制，对涉及多部门监管职责的问题线索，发起部门要及时组织相关部门协同开展核查处理。</w:t>
      </w:r>
    </w:p>
    <w:p>
      <w:pPr>
        <w:pStyle w:val="11"/>
        <w:spacing w:before="156" w:after="156"/>
      </w:pPr>
      <w:bookmarkStart w:id="57" w:name="_Toc174008597"/>
      <w:bookmarkStart w:id="58" w:name="_Toc174008549"/>
      <w:bookmarkStart w:id="59" w:name="_Toc167894940"/>
      <w:r>
        <w:rPr>
          <w:rFonts w:hint="eastAsia"/>
        </w:rPr>
        <w:t>失信惩戒</w:t>
      </w:r>
      <w:bookmarkEnd w:id="57"/>
      <w:bookmarkEnd w:id="58"/>
      <w:bookmarkEnd w:id="59"/>
    </w:p>
    <w:p>
      <w:pPr>
        <w:pStyle w:val="8"/>
        <w:ind w:firstLine="420"/>
      </w:pPr>
      <w:r>
        <w:rPr>
          <w:rFonts w:hint="eastAsia"/>
        </w:rPr>
        <w:t>建立双随机“一业一查”抽查检查结果与失信惩戒的衔接机制，根据抽查检查结果，对后续应列入经营异常名录、严重违法失信名单或应做出行政处罚的等失信信息，按照规定依法向社会公示，依据失信联合惩戒措施清单，依法施行联合惩戒。</w:t>
      </w:r>
    </w:p>
    <w:p>
      <w:pPr>
        <w:pStyle w:val="7"/>
        <w:spacing w:before="312" w:after="312"/>
        <w:rPr>
          <w:szCs w:val="21"/>
        </w:rPr>
      </w:pPr>
      <w:bookmarkStart w:id="60" w:name="_Toc174008598"/>
      <w:bookmarkStart w:id="61" w:name="_Toc167894941"/>
      <w:bookmarkStart w:id="62" w:name="_Toc174008550"/>
      <w:r>
        <w:rPr>
          <w:rFonts w:hint="eastAsia"/>
          <w:szCs w:val="21"/>
        </w:rPr>
        <w:t>工作保障</w:t>
      </w:r>
      <w:bookmarkEnd w:id="60"/>
      <w:bookmarkEnd w:id="61"/>
      <w:bookmarkEnd w:id="62"/>
    </w:p>
    <w:p>
      <w:pPr>
        <w:pStyle w:val="11"/>
        <w:spacing w:before="156" w:after="156"/>
      </w:pPr>
      <w:bookmarkStart w:id="63" w:name="_Toc174008599"/>
      <w:bookmarkStart w:id="64" w:name="_Toc174008551"/>
      <w:bookmarkStart w:id="65" w:name="_Toc167894942"/>
      <w:r>
        <w:rPr>
          <w:rFonts w:hint="eastAsia"/>
        </w:rPr>
        <w:t>优化完善平台</w:t>
      </w:r>
      <w:bookmarkEnd w:id="63"/>
      <w:bookmarkEnd w:id="64"/>
      <w:bookmarkEnd w:id="65"/>
    </w:p>
    <w:p>
      <w:pPr>
        <w:pStyle w:val="13"/>
      </w:pPr>
      <w:r>
        <w:rPr>
          <w:rFonts w:hint="eastAsia" w:ascii="Calibri" w:hAnsi="Calibri" w:cs="宋体"/>
          <w:szCs w:val="21"/>
          <w:lang w:bidi="ar"/>
        </w:rPr>
        <w:t>应优化安徽省事中事后监管平台（以下简称“监管平台”）</w:t>
      </w:r>
      <w:r>
        <w:rPr>
          <w:rFonts w:hint="eastAsia" w:ascii="Calibri" w:hAnsi="Calibri"/>
          <w:szCs w:val="21"/>
          <w:lang w:bidi="ar"/>
        </w:rPr>
        <w:t>，</w:t>
      </w:r>
      <w:r>
        <w:rPr>
          <w:rFonts w:hint="eastAsia" w:ascii="Calibri" w:hAnsi="Calibri" w:cs="宋体"/>
          <w:szCs w:val="21"/>
          <w:lang w:bidi="ar"/>
        </w:rPr>
        <w:t>完善双随机“一业一查”功能模块</w:t>
      </w:r>
      <w:r>
        <w:rPr>
          <w:rFonts w:hint="eastAsia"/>
        </w:rPr>
        <w:t>。</w:t>
      </w:r>
    </w:p>
    <w:p>
      <w:pPr>
        <w:pStyle w:val="13"/>
      </w:pPr>
      <w:r>
        <w:rPr>
          <w:rFonts w:hint="eastAsia"/>
        </w:rPr>
        <w:t>应持续完善“一单两库”管理、计划制定、随机抽取、任务分发、结果公示、统计分析等功能模块，做到全程留痕，便于追溯。</w:t>
      </w:r>
    </w:p>
    <w:p>
      <w:pPr>
        <w:pStyle w:val="15"/>
      </w:pPr>
      <w:r>
        <w:rPr>
          <w:rFonts w:hint="eastAsia"/>
        </w:rPr>
        <w:t>“一单两库”是指随机抽查事项清单及</w:t>
      </w:r>
      <w:r>
        <w:t>随机抽查事项清单和</w:t>
      </w:r>
      <w:r>
        <w:rPr>
          <w:rFonts w:hint="eastAsia"/>
        </w:rPr>
        <w:t>检查对象名录库</w:t>
      </w:r>
      <w:r>
        <w:t>、</w:t>
      </w:r>
      <w:r>
        <w:rPr>
          <w:rFonts w:hint="eastAsia"/>
        </w:rPr>
        <w:t>执法检查人员名录库。</w:t>
      </w:r>
    </w:p>
    <w:p>
      <w:pPr>
        <w:pStyle w:val="11"/>
        <w:spacing w:before="156" w:after="156"/>
      </w:pPr>
      <w:bookmarkStart w:id="66" w:name="_Toc167894943"/>
      <w:bookmarkStart w:id="67" w:name="_Toc174008552"/>
      <w:bookmarkStart w:id="68" w:name="_Toc174008600"/>
      <w:r>
        <w:rPr>
          <w:rFonts w:hint="eastAsia"/>
        </w:rPr>
        <w:t>编制随机抽查事项清单</w:t>
      </w:r>
      <w:bookmarkEnd w:id="66"/>
      <w:bookmarkEnd w:id="67"/>
      <w:bookmarkEnd w:id="68"/>
    </w:p>
    <w:p>
      <w:pPr>
        <w:pStyle w:val="13"/>
      </w:pPr>
      <w:r>
        <w:rPr>
          <w:rFonts w:hint="eastAsia"/>
        </w:rPr>
        <w:t>应建立部门随机抽查事项清单，明确抽查依据、主体、内容、方式等，实行动态调整，通过相关网站和平台向社会公开。</w:t>
      </w:r>
    </w:p>
    <w:p>
      <w:pPr>
        <w:pStyle w:val="13"/>
      </w:pPr>
      <w:r>
        <w:rPr>
          <w:rFonts w:hint="eastAsia"/>
        </w:rPr>
        <w:t>在各部门随机抽查事项清单基础上，统筹制定双随机“一业一单”，并向社会公开。</w:t>
      </w:r>
    </w:p>
    <w:p>
      <w:pPr>
        <w:pStyle w:val="11"/>
        <w:spacing w:before="156" w:after="156"/>
      </w:pPr>
      <w:bookmarkStart w:id="69" w:name="_Toc174008601"/>
      <w:bookmarkStart w:id="70" w:name="_Toc174008553"/>
      <w:bookmarkStart w:id="71" w:name="_Toc167894944"/>
      <w:r>
        <w:rPr>
          <w:rFonts w:hint="eastAsia"/>
        </w:rPr>
        <w:t>建立检查对象名录库</w:t>
      </w:r>
      <w:bookmarkEnd w:id="69"/>
      <w:bookmarkEnd w:id="70"/>
      <w:bookmarkEnd w:id="71"/>
    </w:p>
    <w:p>
      <w:pPr>
        <w:pStyle w:val="13"/>
      </w:pPr>
      <w:r>
        <w:rPr>
          <w:rFonts w:hint="eastAsia"/>
        </w:rPr>
        <w:t>应按照“谁审批、谁监管，谁主管、谁监管”的原则，在监管平台通过分类标注等方式，建立与部门职责相对应的检查对象名录库，并实行动态管理。</w:t>
      </w:r>
    </w:p>
    <w:p>
      <w:pPr>
        <w:pStyle w:val="13"/>
      </w:pPr>
      <w:r>
        <w:rPr>
          <w:rFonts w:hint="eastAsia"/>
        </w:rPr>
        <w:t>检查对象既包括企业、个体工商户等经营主体和其他主体，也包括产品、项目、行为等。</w:t>
      </w:r>
    </w:p>
    <w:p>
      <w:pPr>
        <w:pStyle w:val="11"/>
        <w:spacing w:before="156" w:after="156"/>
      </w:pPr>
      <w:bookmarkStart w:id="72" w:name="_Toc174008554"/>
      <w:bookmarkStart w:id="73" w:name="_Toc174008602"/>
      <w:r>
        <w:rPr>
          <w:rFonts w:hint="eastAsia"/>
        </w:rPr>
        <w:t>建立执法检查人员名录库</w:t>
      </w:r>
      <w:bookmarkEnd w:id="72"/>
      <w:bookmarkEnd w:id="73"/>
    </w:p>
    <w:p>
      <w:pPr>
        <w:pStyle w:val="13"/>
        <w:rPr>
          <w:b/>
        </w:rPr>
      </w:pPr>
      <w:r>
        <w:rPr>
          <w:rFonts w:hint="eastAsia"/>
        </w:rPr>
        <w:t>应根据执法层级、行政区域和执法类别等要素建立执法检查人员名录库，并进行动态管理。</w:t>
      </w:r>
    </w:p>
    <w:p>
      <w:pPr>
        <w:pStyle w:val="13"/>
      </w:pPr>
      <w:r>
        <w:rPr>
          <w:rFonts w:hint="eastAsia"/>
        </w:rPr>
        <w:t>执法检查人员包括所有相关的行政执法类公务员、具有行政执法资格的工作人员和从事日常监管工作的人员，并按照执法资质、业务专长进行分类标注。</w:t>
      </w:r>
    </w:p>
    <w:p>
      <w:pPr>
        <w:pStyle w:val="11"/>
        <w:spacing w:before="156" w:after="156"/>
      </w:pPr>
      <w:bookmarkStart w:id="74" w:name="_Toc167894945"/>
      <w:bookmarkStart w:id="75" w:name="_Toc174008603"/>
      <w:bookmarkStart w:id="76" w:name="_Toc174008555"/>
      <w:r>
        <w:rPr>
          <w:rFonts w:hint="eastAsia"/>
        </w:rPr>
        <w:t>制定抽查工作指引</w:t>
      </w:r>
      <w:bookmarkEnd w:id="74"/>
      <w:bookmarkEnd w:id="75"/>
      <w:bookmarkEnd w:id="76"/>
    </w:p>
    <w:p>
      <w:pPr>
        <w:pStyle w:val="13"/>
      </w:pPr>
      <w:r>
        <w:rPr>
          <w:rFonts w:hint="eastAsia"/>
        </w:rPr>
        <w:t>应对照抽查事项清单，逐项制定抽查工作指引，明确抽查工作程序、项目、方法等。</w:t>
      </w:r>
    </w:p>
    <w:p>
      <w:pPr>
        <w:pStyle w:val="13"/>
      </w:pPr>
      <w:r>
        <w:rPr>
          <w:rFonts w:hint="eastAsia"/>
        </w:rPr>
        <w:t>根据法律、法规、规章的“立改废”等情况更新抽查工作指引。</w:t>
      </w:r>
    </w:p>
    <w:p>
      <w:pPr>
        <w:pStyle w:val="7"/>
        <w:spacing w:before="312" w:after="312"/>
        <w:rPr>
          <w:szCs w:val="21"/>
        </w:rPr>
      </w:pPr>
      <w:bookmarkStart w:id="77" w:name="_Toc174008556"/>
      <w:bookmarkStart w:id="78" w:name="_Toc167894946"/>
      <w:bookmarkStart w:id="79" w:name="_Toc174008604"/>
      <w:r>
        <w:rPr>
          <w:rFonts w:hint="eastAsia"/>
          <w:szCs w:val="21"/>
        </w:rPr>
        <w:t>监管实施</w:t>
      </w:r>
      <w:bookmarkEnd w:id="77"/>
      <w:bookmarkEnd w:id="78"/>
      <w:bookmarkEnd w:id="79"/>
    </w:p>
    <w:p>
      <w:pPr>
        <w:pStyle w:val="11"/>
        <w:spacing w:before="156" w:after="156"/>
      </w:pPr>
      <w:bookmarkStart w:id="80" w:name="_Toc167894947"/>
      <w:bookmarkStart w:id="81" w:name="_Toc123892594"/>
      <w:bookmarkStart w:id="82" w:name="_Toc123891457"/>
      <w:bookmarkStart w:id="83" w:name="_Toc123203240"/>
      <w:bookmarkStart w:id="84" w:name="_Toc174008557"/>
      <w:bookmarkStart w:id="85" w:name="_Toc174008605"/>
      <w:bookmarkStart w:id="86" w:name="_Toc123892560"/>
      <w:bookmarkStart w:id="87" w:name="_Toc123204261"/>
      <w:bookmarkStart w:id="88" w:name="_Toc123203197"/>
      <w:r>
        <w:rPr>
          <w:rFonts w:hint="eastAsia"/>
        </w:rPr>
        <w:t>制定抽查工作方案</w:t>
      </w:r>
      <w:bookmarkEnd w:id="80"/>
      <w:bookmarkEnd w:id="81"/>
      <w:bookmarkEnd w:id="82"/>
      <w:bookmarkEnd w:id="83"/>
      <w:bookmarkEnd w:id="84"/>
      <w:bookmarkEnd w:id="85"/>
      <w:bookmarkEnd w:id="86"/>
      <w:bookmarkEnd w:id="87"/>
      <w:bookmarkEnd w:id="88"/>
    </w:p>
    <w:p>
      <w:pPr>
        <w:pStyle w:val="13"/>
        <w:numPr>
          <w:ilvl w:val="3"/>
          <w:numId w:val="0"/>
        </w:numPr>
        <w:ind w:firstLine="420" w:firstLineChars="200"/>
      </w:pPr>
      <w:r>
        <w:rPr>
          <w:rFonts w:hint="eastAsia"/>
        </w:rPr>
        <w:t>按照年度工作计划，由发起部门制定抽查工作方案，明确抽查事项、责任分工、时间安排及工作要求等，实现“进一次门、查多项事”。</w:t>
      </w:r>
    </w:p>
    <w:p>
      <w:pPr>
        <w:pStyle w:val="11"/>
        <w:spacing w:before="156" w:after="156"/>
      </w:pPr>
      <w:bookmarkStart w:id="89" w:name="_Toc174008606"/>
      <w:bookmarkStart w:id="90" w:name="_Toc123204262"/>
      <w:bookmarkStart w:id="91" w:name="_Toc123892595"/>
      <w:bookmarkStart w:id="92" w:name="_Toc123203198"/>
      <w:bookmarkStart w:id="93" w:name="_Toc174008558"/>
      <w:bookmarkStart w:id="94" w:name="_Toc123892561"/>
      <w:bookmarkStart w:id="95" w:name="_Toc123203241"/>
      <w:bookmarkStart w:id="96" w:name="_Toc167894948"/>
      <w:bookmarkStart w:id="97" w:name="_Toc123891458"/>
      <w:r>
        <w:rPr>
          <w:rFonts w:hint="eastAsia"/>
        </w:rPr>
        <w:t>随机抽取检查对象</w:t>
      </w:r>
      <w:bookmarkEnd w:id="89"/>
      <w:bookmarkEnd w:id="90"/>
      <w:bookmarkEnd w:id="91"/>
      <w:bookmarkEnd w:id="92"/>
      <w:bookmarkEnd w:id="93"/>
      <w:bookmarkEnd w:id="94"/>
      <w:bookmarkEnd w:id="95"/>
      <w:bookmarkEnd w:id="96"/>
      <w:bookmarkEnd w:id="97"/>
    </w:p>
    <w:p>
      <w:pPr>
        <w:pStyle w:val="13"/>
      </w:pPr>
      <w:r>
        <w:rPr>
          <w:rFonts w:hint="eastAsia"/>
        </w:rPr>
        <w:t>按照抽查工作方案，由发起部门通过监管平台随机抽取检查对象</w:t>
      </w:r>
      <w:r>
        <w:rPr>
          <w:rFonts w:hint="eastAsia" w:cs="方正仿宋_GBK"/>
        </w:rPr>
        <w:t>。</w:t>
      </w:r>
    </w:p>
    <w:p>
      <w:pPr>
        <w:pStyle w:val="13"/>
      </w:pPr>
      <w:r>
        <w:rPr>
          <w:rFonts w:hint="eastAsia"/>
        </w:rPr>
        <w:t>已抽取的检查对象名单不应擅自更改，因特殊情况确需更改，应经部门负责人审批。</w:t>
      </w:r>
    </w:p>
    <w:p>
      <w:pPr>
        <w:pStyle w:val="11"/>
        <w:spacing w:before="156" w:after="156"/>
      </w:pPr>
      <w:bookmarkStart w:id="98" w:name="_Toc167894949"/>
      <w:bookmarkStart w:id="99" w:name="_Toc123204263"/>
      <w:bookmarkStart w:id="100" w:name="_Toc123891459"/>
      <w:bookmarkStart w:id="101" w:name="_Toc123203199"/>
      <w:bookmarkStart w:id="102" w:name="_Toc123892562"/>
      <w:bookmarkStart w:id="103" w:name="_Toc174008607"/>
      <w:bookmarkStart w:id="104" w:name="_Toc123892596"/>
      <w:bookmarkStart w:id="105" w:name="_Toc123203242"/>
      <w:bookmarkStart w:id="106" w:name="_Toc174008559"/>
      <w:bookmarkStart w:id="107" w:name="_Hlk182234400"/>
      <w:r>
        <w:rPr>
          <w:rFonts w:hint="eastAsia"/>
        </w:rPr>
        <w:t>随机选派执法检查人员</w:t>
      </w:r>
      <w:bookmarkEnd w:id="98"/>
      <w:bookmarkEnd w:id="99"/>
      <w:bookmarkEnd w:id="100"/>
      <w:bookmarkEnd w:id="101"/>
      <w:bookmarkEnd w:id="102"/>
      <w:bookmarkEnd w:id="103"/>
      <w:bookmarkEnd w:id="104"/>
      <w:bookmarkEnd w:id="105"/>
      <w:bookmarkEnd w:id="106"/>
    </w:p>
    <w:bookmarkEnd w:id="107"/>
    <w:p>
      <w:pPr>
        <w:pStyle w:val="13"/>
      </w:pPr>
      <w:r>
        <w:rPr>
          <w:rFonts w:hint="eastAsia"/>
        </w:rPr>
        <w:t>按照抽取的检查对象名单，在监管平台随机抽取执法检查人员。</w:t>
      </w:r>
    </w:p>
    <w:p>
      <w:pPr>
        <w:pStyle w:val="13"/>
      </w:pPr>
      <w:r>
        <w:rPr>
          <w:rFonts w:hint="eastAsia"/>
        </w:rPr>
        <w:t>已抽取的执法检查人员不应擅自更换，因特殊情况确需更换，应经部门负责人审批，选派其他执法检查人员参加，不再随机抽取。</w:t>
      </w:r>
    </w:p>
    <w:p>
      <w:pPr>
        <w:pStyle w:val="13"/>
      </w:pPr>
      <w:r>
        <w:rPr>
          <w:rFonts w:hint="eastAsia"/>
        </w:rPr>
        <w:t>对特定行业领域的抽查，可吸收检测机构、科研院所和专家学者等参与，通过听取专家咨询意见等方式辅助抽查，满足专业性抽查需要。</w:t>
      </w:r>
    </w:p>
    <w:p>
      <w:pPr>
        <w:pStyle w:val="11"/>
        <w:spacing w:before="156" w:after="156"/>
      </w:pPr>
      <w:bookmarkStart w:id="108" w:name="_Toc174008608"/>
      <w:bookmarkStart w:id="109" w:name="_Toc167894950"/>
      <w:bookmarkStart w:id="110" w:name="_Toc174008560"/>
      <w:r>
        <w:rPr>
          <w:rFonts w:hint="eastAsia"/>
        </w:rPr>
        <w:t>实施联合检查</w:t>
      </w:r>
      <w:bookmarkEnd w:id="108"/>
      <w:bookmarkEnd w:id="109"/>
      <w:bookmarkEnd w:id="110"/>
    </w:p>
    <w:p>
      <w:pPr>
        <w:pStyle w:val="13"/>
      </w:pPr>
      <w:r>
        <w:rPr>
          <w:rFonts w:hint="eastAsia"/>
        </w:rPr>
        <w:t>实施联合检查包括成立联合检查小组、检查准备、实施检查、现场确认等过程。</w:t>
      </w:r>
    </w:p>
    <w:p>
      <w:pPr>
        <w:pStyle w:val="13"/>
      </w:pPr>
      <w:r>
        <w:rPr>
          <w:rFonts w:hint="eastAsia"/>
        </w:rPr>
        <w:t>成立联合检查小组时应开展以下工作：</w:t>
      </w:r>
    </w:p>
    <w:p>
      <w:pPr>
        <w:pStyle w:val="16"/>
      </w:pPr>
      <w:r>
        <w:rPr>
          <w:rFonts w:hint="eastAsia"/>
        </w:rPr>
        <w:t>联合检查小组应由随机选派的所有执法检查人员组成；</w:t>
      </w:r>
    </w:p>
    <w:p>
      <w:pPr>
        <w:pStyle w:val="16"/>
      </w:pPr>
      <w:r>
        <w:rPr>
          <w:rFonts w:hint="eastAsia"/>
        </w:rPr>
        <w:t>宜由发起部门执法检查人员担任组长，并负责检查任务的组织协调管理；</w:t>
      </w:r>
    </w:p>
    <w:p>
      <w:pPr>
        <w:pStyle w:val="16"/>
      </w:pPr>
      <w:r>
        <w:rPr>
          <w:rFonts w:hint="eastAsia"/>
        </w:rPr>
        <w:t>组员应根据组长安排，分工协作完成检查任务；</w:t>
      </w:r>
    </w:p>
    <w:p>
      <w:pPr>
        <w:pStyle w:val="13"/>
      </w:pPr>
      <w:r>
        <w:rPr>
          <w:rFonts w:hint="eastAsia"/>
        </w:rPr>
        <w:t>检查准备时应开展以下工作：</w:t>
      </w:r>
    </w:p>
    <w:p>
      <w:pPr>
        <w:pStyle w:val="16"/>
      </w:pPr>
      <w:r>
        <w:rPr>
          <w:rFonts w:hint="eastAsia"/>
        </w:rPr>
        <w:t>应提前查阅检查对象的登记、许可、备案、处罚等基本信息，掌握检查对象动态情况；</w:t>
      </w:r>
    </w:p>
    <w:p>
      <w:pPr>
        <w:pStyle w:val="16"/>
      </w:pPr>
      <w:r>
        <w:rPr>
          <w:rFonts w:hint="eastAsia"/>
        </w:rPr>
        <w:t>应根据检查需要，提前准备相关检查表格和文书；</w:t>
      </w:r>
    </w:p>
    <w:p>
      <w:pPr>
        <w:pStyle w:val="16"/>
      </w:pPr>
      <w:r>
        <w:rPr>
          <w:rFonts w:hint="eastAsia"/>
        </w:rPr>
        <w:t>宜在现场检查前，以书面或电话、传真等形式，提前告知被检查对象检查时间、配合检查的相关要求，并提示其准备好相关资料。</w:t>
      </w:r>
    </w:p>
    <w:p>
      <w:pPr>
        <w:pStyle w:val="13"/>
      </w:pPr>
      <w:r>
        <w:rPr>
          <w:rFonts w:hint="eastAsia"/>
        </w:rPr>
        <w:t>实施检查过程中应开展以下工作：</w:t>
      </w:r>
    </w:p>
    <w:p>
      <w:pPr>
        <w:pStyle w:val="16"/>
      </w:pPr>
      <w:r>
        <w:rPr>
          <w:rFonts w:hint="eastAsia"/>
        </w:rPr>
        <w:t>应对照抽查工作指引，采取实地核查、书面检查、网络监测、抽样检测等方式开展检查，并如实记录检查结果；</w:t>
      </w:r>
    </w:p>
    <w:p>
      <w:pPr>
        <w:pStyle w:val="16"/>
      </w:pPr>
      <w:r>
        <w:rPr>
          <w:rFonts w:hint="eastAsia"/>
        </w:rPr>
        <w:t>对同一检查对象的多个检查事项，宜一次完成；</w:t>
      </w:r>
    </w:p>
    <w:p>
      <w:pPr>
        <w:pStyle w:val="16"/>
      </w:pPr>
      <w:r>
        <w:rPr>
          <w:rFonts w:hint="eastAsia"/>
        </w:rPr>
        <w:t>需要时，联合检查小组可采取以远程监管、移动监管、预警防控等为特征的非现场监管方式。</w:t>
      </w:r>
    </w:p>
    <w:p>
      <w:pPr>
        <w:pStyle w:val="13"/>
      </w:pPr>
      <w:r>
        <w:rPr>
          <w:rFonts w:hint="eastAsia"/>
        </w:rPr>
        <w:t>现场确认时应开展以下工作：</w:t>
      </w:r>
    </w:p>
    <w:p>
      <w:pPr>
        <w:pStyle w:val="16"/>
      </w:pPr>
      <w:r>
        <w:rPr>
          <w:rFonts w:hint="eastAsia"/>
        </w:rPr>
        <w:t>检查结束后，联合检查小组应与检查对象确认抽查检查情况；</w:t>
      </w:r>
    </w:p>
    <w:p>
      <w:pPr>
        <w:pStyle w:val="16"/>
      </w:pPr>
      <w:r>
        <w:rPr>
          <w:rFonts w:hint="eastAsia"/>
        </w:rPr>
        <w:t>当检查对象拒绝签字或盖章时，执法检查人员应在检查记录表上予以注明，并采取录音、录像等方式记录。必要时，可邀请有关人员作为见证人。</w:t>
      </w:r>
    </w:p>
    <w:p>
      <w:pPr>
        <w:pStyle w:val="11"/>
        <w:spacing w:before="156" w:after="156"/>
      </w:pPr>
      <w:bookmarkStart w:id="111" w:name="_Toc174008561"/>
      <w:bookmarkStart w:id="112" w:name="_Toc174008609"/>
      <w:r>
        <w:rPr>
          <w:rFonts w:hint="eastAsia"/>
        </w:rPr>
        <w:t>公示抽查检查结果</w:t>
      </w:r>
      <w:bookmarkEnd w:id="111"/>
      <w:bookmarkEnd w:id="112"/>
    </w:p>
    <w:p>
      <w:pPr>
        <w:pStyle w:val="13"/>
      </w:pPr>
      <w:r>
        <w:rPr>
          <w:rFonts w:hint="eastAsia"/>
        </w:rPr>
        <w:t>抽查检查结果信息包括以下类型：</w:t>
      </w:r>
    </w:p>
    <w:p>
      <w:pPr>
        <w:pStyle w:val="16"/>
      </w:pPr>
      <w:r>
        <w:rPr>
          <w:rFonts w:hint="eastAsia"/>
        </w:rPr>
        <w:t>未发现问题；</w:t>
      </w:r>
    </w:p>
    <w:p>
      <w:pPr>
        <w:pStyle w:val="16"/>
      </w:pPr>
      <w:r>
        <w:rPr>
          <w:rFonts w:hint="eastAsia"/>
        </w:rPr>
        <w:t>未按规定公示应当公示的信息；</w:t>
      </w:r>
    </w:p>
    <w:p>
      <w:pPr>
        <w:pStyle w:val="16"/>
      </w:pPr>
      <w:r>
        <w:rPr>
          <w:rFonts w:hint="eastAsia"/>
        </w:rPr>
        <w:t>通过登记的住所（经营场所）无法联系；</w:t>
      </w:r>
    </w:p>
    <w:p>
      <w:pPr>
        <w:pStyle w:val="16"/>
      </w:pPr>
      <w:r>
        <w:rPr>
          <w:rFonts w:hint="eastAsia"/>
        </w:rPr>
        <w:t>不配合检查情节严重；</w:t>
      </w:r>
    </w:p>
    <w:p>
      <w:pPr>
        <w:pStyle w:val="16"/>
      </w:pPr>
      <w:r>
        <w:rPr>
          <w:rFonts w:hint="eastAsia"/>
        </w:rPr>
        <w:t>未发现开展本次抽查涉及的经营活动；</w:t>
      </w:r>
    </w:p>
    <w:p>
      <w:pPr>
        <w:pStyle w:val="16"/>
      </w:pPr>
      <w:r>
        <w:rPr>
          <w:rFonts w:hint="eastAsia"/>
        </w:rPr>
        <w:t>发现问题，依法责令立即改正或者限期改正；</w:t>
      </w:r>
    </w:p>
    <w:p>
      <w:pPr>
        <w:pStyle w:val="16"/>
      </w:pPr>
      <w:r>
        <w:rPr>
          <w:rFonts w:hint="eastAsia"/>
        </w:rPr>
        <w:t>发现问题，待后续调查处理；</w:t>
      </w:r>
    </w:p>
    <w:p>
      <w:pPr>
        <w:pStyle w:val="16"/>
      </w:pPr>
      <w:r>
        <w:rPr>
          <w:rFonts w:hint="eastAsia"/>
        </w:rPr>
        <w:t>合格/不合格；</w:t>
      </w:r>
    </w:p>
    <w:p>
      <w:pPr>
        <w:pStyle w:val="16"/>
      </w:pPr>
      <w:r>
        <w:rPr>
          <w:rFonts w:hint="eastAsia"/>
        </w:rPr>
        <w:t>其他情况。</w:t>
      </w:r>
    </w:p>
    <w:p>
      <w:pPr>
        <w:pStyle w:val="13"/>
      </w:pPr>
      <w:r>
        <w:rPr>
          <w:rFonts w:hint="eastAsia"/>
        </w:rPr>
        <w:t>按照“谁检查、谁录入、谁负责”的原则，应自检查任务完成后20个工作日内将检查结果录入监管平台，通过国家企业信用信息公示系统或相关网站和平台等进行公示，接受社会监督，抽查检查材料应存档。</w:t>
      </w:r>
    </w:p>
    <w:p>
      <w:pPr>
        <w:pStyle w:val="13"/>
      </w:pPr>
      <w:r>
        <w:rPr>
          <w:rFonts w:hint="eastAsia"/>
        </w:rPr>
        <w:t>抽查检查结果公开后不应擅自更改。</w:t>
      </w:r>
    </w:p>
    <w:p>
      <w:pPr>
        <w:pStyle w:val="7"/>
        <w:spacing w:before="312" w:after="312"/>
        <w:rPr>
          <w:szCs w:val="21"/>
        </w:rPr>
      </w:pPr>
      <w:bookmarkStart w:id="113" w:name="_Toc167894953"/>
      <w:bookmarkStart w:id="114" w:name="_Toc174008610"/>
      <w:bookmarkStart w:id="115" w:name="_Toc174008562"/>
      <w:r>
        <w:rPr>
          <w:rFonts w:hint="eastAsia"/>
          <w:szCs w:val="21"/>
        </w:rPr>
        <w:t>后续处理</w:t>
      </w:r>
      <w:bookmarkEnd w:id="113"/>
      <w:bookmarkEnd w:id="114"/>
      <w:bookmarkEnd w:id="115"/>
    </w:p>
    <w:p>
      <w:pPr>
        <w:pStyle w:val="10"/>
      </w:pPr>
      <w:r>
        <w:rPr>
          <w:rFonts w:hint="eastAsia"/>
        </w:rPr>
        <w:t>对抽查中发现的各类问题应采取及时有效的处理措施，按照“谁监管、谁负责”的原则实施后续监管。</w:t>
      </w:r>
    </w:p>
    <w:p>
      <w:pPr>
        <w:pStyle w:val="10"/>
      </w:pPr>
      <w:r>
        <w:rPr>
          <w:rFonts w:hint="eastAsia"/>
        </w:rPr>
        <w:t>对发现的属于其他部门监管职责的违法违规行为，要及时交由相关部门依法依规处理。</w:t>
      </w:r>
    </w:p>
    <w:bookmarkEnd w:id="1"/>
    <w:p>
      <w:pPr>
        <w:pStyle w:val="10"/>
      </w:pPr>
      <w:r>
        <w:rPr>
          <w:rFonts w:hint="eastAsia"/>
        </w:rPr>
        <w:t>应建立健全抽查检查结果公示信息修复机制。</w:t>
      </w:r>
    </w:p>
    <w:p>
      <w:pPr>
        <w:pStyle w:val="10"/>
      </w:pPr>
      <w:r>
        <w:rPr>
          <w:rFonts w:hint="eastAsia"/>
        </w:rPr>
        <w:t>在抽查检查结果通过国家企业信用信息公示系统公示满法定期限后，检查对象可依法按照有关程序申请停止公示。</w:t>
      </w:r>
    </w:p>
    <w:sectPr>
      <w:headerReference r:id="rId3" w:type="default"/>
      <w:footerReference r:id="rId4" w:type="default"/>
      <w:pgSz w:w="11906" w:h="16838"/>
      <w:pgMar w:top="1440" w:right="1800" w:bottom="1440" w:left="1800" w:header="851" w:footer="992" w:gutter="0"/>
      <w:pgNumType w:fmt="numberInDash" w:start="5"/>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Arial">
    <w:panose1 w:val="020B0604020202020204"/>
    <w:charset w:val="00"/>
    <w:family w:val="swiss"/>
    <w:pitch w:val="default"/>
    <w:sig w:usb0="E0002EFF" w:usb1="C000785B" w:usb2="00000009" w:usb3="00000000" w:csb0="400001FF" w:csb1="FFFF0000"/>
  </w:font>
  <w:font w:name="方正仿宋_GBK">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asciiTheme="minorEastAsia" w:hAnsiTheme="minorEastAsia" w:eastAsiaTheme="minorEastAsia" w:cstheme="minorEastAsia"/>
                              <w:sz w:val="28"/>
                              <w:szCs w:val="44"/>
                              <w:lang w:eastAsia="zh-CN"/>
                            </w:rPr>
                          </w:pPr>
                          <w:r>
                            <w:rPr>
                              <w:rFonts w:hint="eastAsia" w:asciiTheme="minorEastAsia" w:hAnsiTheme="minorEastAsia" w:eastAsiaTheme="minorEastAsia" w:cstheme="minorEastAsia"/>
                              <w:sz w:val="28"/>
                              <w:szCs w:val="44"/>
                              <w:lang w:eastAsia="zh-CN"/>
                            </w:rPr>
                            <w:fldChar w:fldCharType="begin"/>
                          </w:r>
                          <w:r>
                            <w:rPr>
                              <w:rFonts w:hint="eastAsia" w:asciiTheme="minorEastAsia" w:hAnsiTheme="minorEastAsia" w:eastAsiaTheme="minorEastAsia" w:cstheme="minorEastAsia"/>
                              <w:sz w:val="28"/>
                              <w:szCs w:val="44"/>
                              <w:lang w:eastAsia="zh-CN"/>
                            </w:rPr>
                            <w:instrText xml:space="preserve"> PAGE  \* MERGEFORMAT </w:instrText>
                          </w:r>
                          <w:r>
                            <w:rPr>
                              <w:rFonts w:hint="eastAsia" w:asciiTheme="minorEastAsia" w:hAnsiTheme="minorEastAsia" w:eastAsiaTheme="minorEastAsia" w:cstheme="minorEastAsia"/>
                              <w:sz w:val="28"/>
                              <w:szCs w:val="44"/>
                              <w:lang w:eastAsia="zh-CN"/>
                            </w:rPr>
                            <w:fldChar w:fldCharType="separate"/>
                          </w:r>
                          <w:r>
                            <w:rPr>
                              <w:rFonts w:hint="eastAsia" w:asciiTheme="minorEastAsia" w:hAnsiTheme="minorEastAsia" w:eastAsiaTheme="minorEastAsia" w:cstheme="minorEastAsia"/>
                              <w:sz w:val="28"/>
                              <w:szCs w:val="44"/>
                            </w:rPr>
                            <w:t>1</w:t>
                          </w:r>
                          <w:r>
                            <w:rPr>
                              <w:rFonts w:hint="eastAsia" w:asciiTheme="minorEastAsia" w:hAnsiTheme="minorEastAsia" w:eastAsiaTheme="minorEastAsia" w:cstheme="minorEastAsia"/>
                              <w:sz w:val="28"/>
                              <w:szCs w:val="44"/>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">
              <v:fill on="f" focussize="0,0"/>
              <v:stroke on="f" weight="0.5pt"/>
              <v:imagedata o:title=""/>
              <o:lock v:ext="edit" aspectratio="f"/>
              <v:textbox inset="0mm,0mm,0mm,0mm" style="mso-fit-shape-to-text:t;">
                <w:txbxContent>
                  <w:p>
                    <w:pPr>
                      <w:snapToGrid w:val="0"/>
                      <w:rPr>
                        <w:rFonts w:hint="eastAsia" w:asciiTheme="minorEastAsia" w:hAnsiTheme="minorEastAsia" w:eastAsiaTheme="minorEastAsia" w:cstheme="minorEastAsia"/>
                        <w:sz w:val="28"/>
                        <w:szCs w:val="44"/>
                        <w:lang w:eastAsia="zh-CN"/>
                      </w:rPr>
                    </w:pPr>
                    <w:r>
                      <w:rPr>
                        <w:rFonts w:hint="eastAsia" w:asciiTheme="minorEastAsia" w:hAnsiTheme="minorEastAsia" w:eastAsiaTheme="minorEastAsia" w:cstheme="minorEastAsia"/>
                        <w:sz w:val="28"/>
                        <w:szCs w:val="44"/>
                        <w:lang w:eastAsia="zh-CN"/>
                      </w:rPr>
                      <w:fldChar w:fldCharType="begin"/>
                    </w:r>
                    <w:r>
                      <w:rPr>
                        <w:rFonts w:hint="eastAsia" w:asciiTheme="minorEastAsia" w:hAnsiTheme="minorEastAsia" w:eastAsiaTheme="minorEastAsia" w:cstheme="minorEastAsia"/>
                        <w:sz w:val="28"/>
                        <w:szCs w:val="44"/>
                        <w:lang w:eastAsia="zh-CN"/>
                      </w:rPr>
                      <w:instrText xml:space="preserve"> PAGE  \* MERGEFORMAT </w:instrText>
                    </w:r>
                    <w:r>
                      <w:rPr>
                        <w:rFonts w:hint="eastAsia" w:asciiTheme="minorEastAsia" w:hAnsiTheme="minorEastAsia" w:eastAsiaTheme="minorEastAsia" w:cstheme="minorEastAsia"/>
                        <w:sz w:val="28"/>
                        <w:szCs w:val="44"/>
                        <w:lang w:eastAsia="zh-CN"/>
                      </w:rPr>
                      <w:fldChar w:fldCharType="separate"/>
                    </w:r>
                    <w:r>
                      <w:rPr>
                        <w:rFonts w:hint="eastAsia" w:asciiTheme="minorEastAsia" w:hAnsiTheme="minorEastAsia" w:eastAsiaTheme="minorEastAsia" w:cstheme="minorEastAsia"/>
                        <w:sz w:val="28"/>
                        <w:szCs w:val="44"/>
                      </w:rPr>
                      <w:t>1</w:t>
                    </w:r>
                    <w:r>
                      <w:rPr>
                        <w:rFonts w:hint="eastAsia" w:asciiTheme="minorEastAsia" w:hAnsiTheme="minorEastAsia" w:eastAsiaTheme="minorEastAsia" w:cstheme="minorEastAsia"/>
                        <w:sz w:val="28"/>
                        <w:szCs w:val="44"/>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9102AD"/>
    <w:multiLevelType w:val="multilevel"/>
    <w:tmpl w:val="079102AD"/>
    <w:lvl w:ilvl="0" w:tentative="0">
      <w:start w:val="1"/>
      <w:numFmt w:val="decimal"/>
      <w:pStyle w:val="12"/>
      <w:suff w:val="nothing"/>
      <w:lvlText w:val="注%1："/>
      <w:lvlJc w:val="left"/>
      <w:pPr>
        <w:ind w:left="811" w:hanging="448"/>
      </w:pPr>
      <w:rPr>
        <w:rFonts w:hint="eastAsia" w:ascii="黑体" w:eastAsia="黑体"/>
        <w:b w:val="0"/>
        <w:i w:val="0"/>
        <w:sz w:val="18"/>
      </w:rPr>
    </w:lvl>
    <w:lvl w:ilvl="1" w:tentative="0">
      <w:start w:val="1"/>
      <w:numFmt w:val="lowerLetter"/>
      <w:lvlText w:val="%2)"/>
      <w:lvlJc w:val="left"/>
      <w:pPr>
        <w:tabs>
          <w:tab w:val="left" w:pos="0"/>
        </w:tabs>
        <w:ind w:left="992" w:hanging="629"/>
      </w:pPr>
      <w:rPr>
        <w:rFonts w:hint="eastAsia"/>
      </w:rPr>
    </w:lvl>
    <w:lvl w:ilvl="2" w:tentative="0">
      <w:start w:val="1"/>
      <w:numFmt w:val="lowerRoman"/>
      <w:lvlText w:val="%3."/>
      <w:lvlJc w:val="right"/>
      <w:pPr>
        <w:tabs>
          <w:tab w:val="left" w:pos="0"/>
        </w:tabs>
        <w:ind w:left="992" w:hanging="629"/>
      </w:pPr>
      <w:rPr>
        <w:rFonts w:hint="eastAsia"/>
      </w:rPr>
    </w:lvl>
    <w:lvl w:ilvl="3" w:tentative="0">
      <w:start w:val="1"/>
      <w:numFmt w:val="decimal"/>
      <w:lvlText w:val="%4."/>
      <w:lvlJc w:val="left"/>
      <w:pPr>
        <w:tabs>
          <w:tab w:val="left" w:pos="0"/>
        </w:tabs>
        <w:ind w:left="992" w:hanging="629"/>
      </w:pPr>
      <w:rPr>
        <w:rFonts w:hint="eastAsia"/>
      </w:rPr>
    </w:lvl>
    <w:lvl w:ilvl="4" w:tentative="0">
      <w:start w:val="1"/>
      <w:numFmt w:val="lowerLetter"/>
      <w:lvlText w:val="%5)"/>
      <w:lvlJc w:val="left"/>
      <w:pPr>
        <w:tabs>
          <w:tab w:val="left" w:pos="0"/>
        </w:tabs>
        <w:ind w:left="992" w:hanging="629"/>
      </w:pPr>
      <w:rPr>
        <w:rFonts w:hint="eastAsia"/>
      </w:rPr>
    </w:lvl>
    <w:lvl w:ilvl="5" w:tentative="0">
      <w:start w:val="1"/>
      <w:numFmt w:val="lowerRoman"/>
      <w:lvlText w:val="%6."/>
      <w:lvlJc w:val="right"/>
      <w:pPr>
        <w:tabs>
          <w:tab w:val="left" w:pos="0"/>
        </w:tabs>
        <w:ind w:left="992" w:hanging="629"/>
      </w:pPr>
      <w:rPr>
        <w:rFonts w:hint="eastAsia"/>
      </w:rPr>
    </w:lvl>
    <w:lvl w:ilvl="6" w:tentative="0">
      <w:start w:val="1"/>
      <w:numFmt w:val="decimal"/>
      <w:lvlText w:val="%7."/>
      <w:lvlJc w:val="left"/>
      <w:pPr>
        <w:tabs>
          <w:tab w:val="left" w:pos="0"/>
        </w:tabs>
        <w:ind w:left="992" w:hanging="629"/>
      </w:pPr>
      <w:rPr>
        <w:rFonts w:hint="eastAsia"/>
      </w:rPr>
    </w:lvl>
    <w:lvl w:ilvl="7" w:tentative="0">
      <w:start w:val="1"/>
      <w:numFmt w:val="lowerLetter"/>
      <w:lvlText w:val="%8)"/>
      <w:lvlJc w:val="left"/>
      <w:pPr>
        <w:tabs>
          <w:tab w:val="left" w:pos="0"/>
        </w:tabs>
        <w:ind w:left="992" w:hanging="629"/>
      </w:pPr>
      <w:rPr>
        <w:rFonts w:hint="eastAsia"/>
      </w:rPr>
    </w:lvl>
    <w:lvl w:ilvl="8" w:tentative="0">
      <w:start w:val="1"/>
      <w:numFmt w:val="lowerRoman"/>
      <w:lvlText w:val="%9."/>
      <w:lvlJc w:val="right"/>
      <w:pPr>
        <w:tabs>
          <w:tab w:val="left" w:pos="0"/>
        </w:tabs>
        <w:ind w:left="992" w:hanging="629"/>
      </w:pPr>
      <w:rPr>
        <w:rFonts w:hint="eastAsia"/>
      </w:rPr>
    </w:lvl>
  </w:abstractNum>
  <w:abstractNum w:abstractNumId="1">
    <w:nsid w:val="2C5917C3"/>
    <w:multiLevelType w:val="multilevel"/>
    <w:tmpl w:val="2C5917C3"/>
    <w:lvl w:ilvl="0" w:tentative="0">
      <w:start w:val="1"/>
      <w:numFmt w:val="none"/>
      <w:pStyle w:val="16"/>
      <w:lvlText w:val="%1——"/>
      <w:lvlJc w:val="left"/>
      <w:pPr>
        <w:tabs>
          <w:tab w:val="left" w:pos="851"/>
        </w:tabs>
        <w:ind w:left="851" w:hanging="426"/>
      </w:pPr>
      <w:rPr>
        <w:rFonts w:hint="eastAsia" w:ascii="宋体" w:hAnsi="Times New Roman" w:eastAsia="宋体"/>
        <w:b w:val="0"/>
        <w:i w:val="0"/>
        <w:sz w:val="21"/>
      </w:rPr>
    </w:lvl>
    <w:lvl w:ilvl="1" w:tentative="0">
      <w:start w:val="1"/>
      <w:numFmt w:val="none"/>
      <w:lvlText w:val=""/>
      <w:lvlJc w:val="left"/>
      <w:pPr>
        <w:ind w:left="851" w:hanging="431"/>
      </w:pPr>
      <w:rPr>
        <w:rFonts w:hint="default" w:ascii="Symbol" w:hAnsi="Symbol"/>
        <w:sz w:val="21"/>
      </w:rPr>
    </w:lvl>
    <w:lvl w:ilvl="2" w:tentative="0">
      <w:start w:val="1"/>
      <w:numFmt w:val="bullet"/>
      <w:lvlText w:val=""/>
      <w:lvlJc w:val="left"/>
      <w:pPr>
        <w:ind w:left="851" w:hanging="426"/>
      </w:pPr>
      <w:rPr>
        <w:rFonts w:hint="default" w:ascii="Wingdings" w:hAnsi="Wingdings"/>
        <w:sz w:val="21"/>
      </w:rPr>
    </w:lvl>
    <w:lvl w:ilvl="3" w:tentative="0">
      <w:start w:val="1"/>
      <w:numFmt w:val="decimal"/>
      <w:lvlText w:val="%4."/>
      <w:lvlJc w:val="left"/>
      <w:pPr>
        <w:tabs>
          <w:tab w:val="left" w:pos="2071"/>
        </w:tabs>
        <w:ind w:left="1884" w:hanging="528"/>
      </w:pPr>
      <w:rPr>
        <w:rFonts w:hint="eastAsia"/>
      </w:rPr>
    </w:lvl>
    <w:lvl w:ilvl="4" w:tentative="0">
      <w:start w:val="1"/>
      <w:numFmt w:val="lowerLetter"/>
      <w:lvlText w:val="%5)"/>
      <w:lvlJc w:val="left"/>
      <w:pPr>
        <w:tabs>
          <w:tab w:val="left" w:pos="2383"/>
        </w:tabs>
        <w:ind w:left="2196" w:hanging="528"/>
      </w:pPr>
      <w:rPr>
        <w:rFonts w:hint="eastAsia"/>
      </w:rPr>
    </w:lvl>
    <w:lvl w:ilvl="5" w:tentative="0">
      <w:start w:val="1"/>
      <w:numFmt w:val="lowerRoman"/>
      <w:lvlText w:val="%6."/>
      <w:lvlJc w:val="right"/>
      <w:pPr>
        <w:tabs>
          <w:tab w:val="left" w:pos="2695"/>
        </w:tabs>
        <w:ind w:left="2508" w:hanging="528"/>
      </w:pPr>
      <w:rPr>
        <w:rFonts w:hint="eastAsia"/>
      </w:rPr>
    </w:lvl>
    <w:lvl w:ilvl="6" w:tentative="0">
      <w:start w:val="1"/>
      <w:numFmt w:val="decimal"/>
      <w:lvlText w:val="%7."/>
      <w:lvlJc w:val="left"/>
      <w:pPr>
        <w:tabs>
          <w:tab w:val="left" w:pos="3007"/>
        </w:tabs>
        <w:ind w:left="2820" w:hanging="528"/>
      </w:pPr>
      <w:rPr>
        <w:rFonts w:hint="eastAsia"/>
      </w:rPr>
    </w:lvl>
    <w:lvl w:ilvl="7" w:tentative="0">
      <w:start w:val="1"/>
      <w:numFmt w:val="lowerLetter"/>
      <w:lvlText w:val="%8)"/>
      <w:lvlJc w:val="left"/>
      <w:pPr>
        <w:tabs>
          <w:tab w:val="left" w:pos="3319"/>
        </w:tabs>
        <w:ind w:left="3132" w:hanging="528"/>
      </w:pPr>
      <w:rPr>
        <w:rFonts w:hint="eastAsia"/>
      </w:rPr>
    </w:lvl>
    <w:lvl w:ilvl="8" w:tentative="0">
      <w:start w:val="1"/>
      <w:numFmt w:val="lowerRoman"/>
      <w:lvlText w:val="%9."/>
      <w:lvlJc w:val="right"/>
      <w:pPr>
        <w:tabs>
          <w:tab w:val="left" w:pos="3631"/>
        </w:tabs>
        <w:ind w:left="3444" w:hanging="528"/>
      </w:pPr>
      <w:rPr>
        <w:rFonts w:hint="eastAsia"/>
      </w:rPr>
    </w:lvl>
  </w:abstractNum>
  <w:abstractNum w:abstractNumId="2">
    <w:nsid w:val="6CEA2025"/>
    <w:multiLevelType w:val="multilevel"/>
    <w:tmpl w:val="6CEA2025"/>
    <w:lvl w:ilvl="0" w:tentative="0">
      <w:start w:val="1"/>
      <w:numFmt w:val="none"/>
      <w:suff w:val="nothing"/>
      <w:lvlText w:val="%1"/>
      <w:lvlJc w:val="left"/>
      <w:pPr>
        <w:ind w:left="0" w:firstLine="0"/>
      </w:pPr>
      <w:rPr>
        <w:rFonts w:hint="eastAsia"/>
      </w:rPr>
    </w:lvl>
    <w:lvl w:ilvl="1" w:tentative="0">
      <w:start w:val="1"/>
      <w:numFmt w:val="decimal"/>
      <w:pStyle w:val="7"/>
      <w:suff w:val="nothing"/>
      <w:lvlText w:val="%1%2　"/>
      <w:lvlJc w:val="left"/>
      <w:pPr>
        <w:ind w:left="0" w:firstLine="0"/>
      </w:pPr>
      <w:rPr>
        <w:rFonts w:hint="eastAsia" w:ascii="黑体" w:eastAsia="黑体"/>
        <w:b w:val="0"/>
        <w:i w:val="0"/>
        <w:sz w:val="21"/>
      </w:rPr>
    </w:lvl>
    <w:lvl w:ilvl="2" w:tentative="0">
      <w:start w:val="1"/>
      <w:numFmt w:val="decimal"/>
      <w:pStyle w:val="11"/>
      <w:suff w:val="nothing"/>
      <w:lvlText w:val="%1%2.%3　"/>
      <w:lvlJc w:val="left"/>
      <w:pPr>
        <w:ind w:left="0" w:firstLine="0"/>
      </w:pPr>
      <w:rPr>
        <w:rFonts w:hint="eastAsia" w:ascii="黑体" w:hAnsi="Times New Roman" w:eastAsia="黑体" w:cs="Times New Roman"/>
        <w:b w:val="0"/>
        <w:bCs w:val="0"/>
        <w:i w:val="0"/>
        <w:iCs w:val="0"/>
        <w:caps w:val="0"/>
        <w:smallCaps w:val="0"/>
        <w:strike w:val="0"/>
        <w:dstrike w:val="0"/>
        <w:vanish w:val="0"/>
        <w:color w:val="000000"/>
        <w:spacing w:val="0"/>
        <w:kern w:val="0"/>
        <w:position w:val="0"/>
        <w:sz w:val="21"/>
        <w:u w:val="none"/>
        <w:vertAlign w:val="baseline"/>
      </w:rPr>
    </w:lvl>
    <w:lvl w:ilvl="3" w:tentative="0">
      <w:start w:val="1"/>
      <w:numFmt w:val="decimal"/>
      <w:pStyle w:val="14"/>
      <w:suff w:val="nothing"/>
      <w:lvlText w:val="%1%2.%3.%4　"/>
      <w:lvlJc w:val="left"/>
      <w:pPr>
        <w:ind w:left="0" w:firstLine="0"/>
      </w:pPr>
      <w:rPr>
        <w:rFonts w:hint="eastAsia" w:ascii="黑体" w:eastAsia="黑体"/>
        <w:b w:val="0"/>
        <w:i w:val="0"/>
        <w:sz w:val="21"/>
      </w:rPr>
    </w:lvl>
    <w:lvl w:ilvl="4" w:tentative="0">
      <w:start w:val="1"/>
      <w:numFmt w:val="decimal"/>
      <w:suff w:val="nothing"/>
      <w:lvlText w:val="%1%2.%3.%4.%5　"/>
      <w:lvlJc w:val="left"/>
      <w:pPr>
        <w:ind w:left="0" w:firstLine="0"/>
      </w:pPr>
      <w:rPr>
        <w:rFonts w:hint="eastAsia" w:ascii="黑体" w:eastAsia="黑体"/>
        <w:b w:val="0"/>
        <w:i w:val="0"/>
        <w:sz w:val="21"/>
      </w:rPr>
    </w:lvl>
    <w:lvl w:ilvl="5" w:tentative="0">
      <w:start w:val="1"/>
      <w:numFmt w:val="decimal"/>
      <w:suff w:val="nothing"/>
      <w:lvlText w:val="%1%2.%3.%4.%5.%6　"/>
      <w:lvlJc w:val="left"/>
      <w:pPr>
        <w:ind w:left="0" w:firstLine="0"/>
      </w:pPr>
      <w:rPr>
        <w:rFonts w:hint="eastAsia" w:ascii="黑体" w:eastAsia="黑体"/>
        <w:b w:val="0"/>
        <w:i w:val="0"/>
        <w:sz w:val="21"/>
      </w:rPr>
    </w:lvl>
    <w:lvl w:ilvl="6" w:tentative="0">
      <w:start w:val="1"/>
      <w:numFmt w:val="decimal"/>
      <w:suff w:val="nothing"/>
      <w:lvlText w:val="%1%2.%3.%4.%5.%6.%7　"/>
      <w:lvlJc w:val="left"/>
      <w:pPr>
        <w:ind w:left="0" w:firstLine="0"/>
      </w:pPr>
      <w:rPr>
        <w:rFonts w:hint="eastAsia" w:ascii="黑体"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3">
    <w:nsid w:val="6DBF04F4"/>
    <w:multiLevelType w:val="multilevel"/>
    <w:tmpl w:val="6DBF04F4"/>
    <w:lvl w:ilvl="0" w:tentative="0">
      <w:start w:val="1"/>
      <w:numFmt w:val="none"/>
      <w:pStyle w:val="15"/>
      <w:lvlText w:val="%1注："/>
      <w:lvlJc w:val="left"/>
      <w:pPr>
        <w:ind w:left="737" w:hanging="374"/>
      </w:pPr>
      <w:rPr>
        <w:rFonts w:hint="eastAsia" w:ascii="黑体" w:eastAsia="黑体"/>
        <w:b w:val="0"/>
        <w:i w:val="0"/>
        <w:sz w:val="18"/>
      </w:rPr>
    </w:lvl>
    <w:lvl w:ilvl="1" w:tentative="0">
      <w:start w:val="1"/>
      <w:numFmt w:val="lowerLetter"/>
      <w:lvlText w:val="%2)"/>
      <w:lvlJc w:val="left"/>
      <w:pPr>
        <w:tabs>
          <w:tab w:val="left" w:pos="1140"/>
        </w:tabs>
        <w:ind w:left="726" w:hanging="363"/>
      </w:pPr>
      <w:rPr>
        <w:rFonts w:hint="eastAsia"/>
      </w:rPr>
    </w:lvl>
    <w:lvl w:ilvl="2" w:tentative="0">
      <w:start w:val="1"/>
      <w:numFmt w:val="lowerRoman"/>
      <w:lvlText w:val="%3."/>
      <w:lvlJc w:val="right"/>
      <w:pPr>
        <w:tabs>
          <w:tab w:val="left" w:pos="1140"/>
        </w:tabs>
        <w:ind w:left="726" w:hanging="363"/>
      </w:pPr>
      <w:rPr>
        <w:rFonts w:hint="eastAsia"/>
      </w:rPr>
    </w:lvl>
    <w:lvl w:ilvl="3" w:tentative="0">
      <w:start w:val="1"/>
      <w:numFmt w:val="decimal"/>
      <w:lvlText w:val="%4."/>
      <w:lvlJc w:val="left"/>
      <w:pPr>
        <w:tabs>
          <w:tab w:val="left" w:pos="1140"/>
        </w:tabs>
        <w:ind w:left="726" w:hanging="363"/>
      </w:pPr>
      <w:rPr>
        <w:rFonts w:hint="eastAsia"/>
      </w:rPr>
    </w:lvl>
    <w:lvl w:ilvl="4" w:tentative="0">
      <w:start w:val="1"/>
      <w:numFmt w:val="lowerLetter"/>
      <w:lvlText w:val="%5)"/>
      <w:lvlJc w:val="left"/>
      <w:pPr>
        <w:tabs>
          <w:tab w:val="left" w:pos="1140"/>
        </w:tabs>
        <w:ind w:left="726" w:hanging="363"/>
      </w:pPr>
      <w:rPr>
        <w:rFonts w:hint="eastAsia"/>
      </w:rPr>
    </w:lvl>
    <w:lvl w:ilvl="5" w:tentative="0">
      <w:start w:val="1"/>
      <w:numFmt w:val="lowerRoman"/>
      <w:lvlText w:val="%6."/>
      <w:lvlJc w:val="right"/>
      <w:pPr>
        <w:tabs>
          <w:tab w:val="left" w:pos="1140"/>
        </w:tabs>
        <w:ind w:left="726" w:hanging="363"/>
      </w:pPr>
      <w:rPr>
        <w:rFonts w:hint="eastAsia"/>
      </w:rPr>
    </w:lvl>
    <w:lvl w:ilvl="6" w:tentative="0">
      <w:start w:val="1"/>
      <w:numFmt w:val="decimal"/>
      <w:lvlText w:val="%7."/>
      <w:lvlJc w:val="left"/>
      <w:pPr>
        <w:tabs>
          <w:tab w:val="left" w:pos="1140"/>
        </w:tabs>
        <w:ind w:left="726" w:hanging="363"/>
      </w:pPr>
      <w:rPr>
        <w:rFonts w:hint="eastAsia"/>
      </w:rPr>
    </w:lvl>
    <w:lvl w:ilvl="7" w:tentative="0">
      <w:start w:val="1"/>
      <w:numFmt w:val="lowerLetter"/>
      <w:lvlText w:val="%8)"/>
      <w:lvlJc w:val="left"/>
      <w:pPr>
        <w:tabs>
          <w:tab w:val="left" w:pos="1140"/>
        </w:tabs>
        <w:ind w:left="726" w:hanging="363"/>
      </w:pPr>
      <w:rPr>
        <w:rFonts w:hint="eastAsia"/>
      </w:rPr>
    </w:lvl>
    <w:lvl w:ilvl="8" w:tentative="0">
      <w:start w:val="1"/>
      <w:numFmt w:val="lowerRoman"/>
      <w:lvlText w:val="%9."/>
      <w:lvlJc w:val="right"/>
      <w:pPr>
        <w:tabs>
          <w:tab w:val="left" w:pos="1140"/>
        </w:tabs>
        <w:ind w:left="726" w:hanging="363"/>
      </w:pPr>
      <w:rPr>
        <w:rFonts w:hint="eastAsia"/>
      </w:rPr>
    </w:lvl>
  </w:abstractNum>
  <w:num w:numId="1">
    <w:abstractNumId w:val="2"/>
  </w:num>
  <w:num w:numId="2">
    <w:abstractNumId w:val="0"/>
  </w:num>
  <w:num w:numId="3">
    <w:abstractNumId w:val="3"/>
  </w:num>
  <w:num w:numId="4">
    <w:abstractNumId w:val="1"/>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97A5F32"/>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6">
    <w:name w:val="标准文件_正文标准名称"/>
    <w:qFormat/>
    <w:uiPriority w:val="0"/>
    <w:pPr>
      <w:spacing w:before="560" w:after="640" w:line="400" w:lineRule="exact"/>
      <w:jc w:val="center"/>
    </w:pPr>
    <w:rPr>
      <w:rFonts w:ascii="黑体" w:hAnsi="黑体" w:eastAsia="黑体" w:cs="Times New Roman"/>
      <w:kern w:val="2"/>
      <w:sz w:val="32"/>
      <w:szCs w:val="32"/>
      <w:lang w:val="en-US" w:eastAsia="zh-CN" w:bidi="ar-SA"/>
    </w:rPr>
  </w:style>
  <w:style w:type="paragraph" w:customStyle="1" w:styleId="7">
    <w:name w:val="标准文件_章标题"/>
    <w:next w:val="8"/>
    <w:qFormat/>
    <w:uiPriority w:val="0"/>
    <w:pPr>
      <w:numPr>
        <w:ilvl w:val="1"/>
        <w:numId w:val="1"/>
      </w:numPr>
      <w:spacing w:beforeLines="100" w:afterLines="100"/>
      <w:jc w:val="both"/>
      <w:outlineLvl w:val="0"/>
    </w:pPr>
    <w:rPr>
      <w:rFonts w:ascii="黑体" w:hAnsi="Times New Roman" w:eastAsia="黑体" w:cs="Times New Roman"/>
      <w:sz w:val="21"/>
      <w:szCs w:val="22"/>
      <w:lang w:val="en-US" w:eastAsia="zh-CN" w:bidi="ar-SA"/>
    </w:rPr>
  </w:style>
  <w:style w:type="paragraph" w:customStyle="1" w:styleId="8">
    <w:name w:val="标准文件_段"/>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9">
    <w:name w:val="标准文件_术语条一"/>
    <w:basedOn w:val="10"/>
    <w:next w:val="8"/>
    <w:qFormat/>
    <w:uiPriority w:val="0"/>
  </w:style>
  <w:style w:type="paragraph" w:customStyle="1" w:styleId="10">
    <w:name w:val="标准文件_一级无标题"/>
    <w:basedOn w:val="11"/>
    <w:qFormat/>
    <w:uiPriority w:val="0"/>
    <w:pPr>
      <w:spacing w:beforeLines="0" w:afterLines="0"/>
      <w:outlineLvl w:val="9"/>
    </w:pPr>
    <w:rPr>
      <w:rFonts w:ascii="宋体" w:eastAsia="宋体"/>
    </w:rPr>
  </w:style>
  <w:style w:type="paragraph" w:customStyle="1" w:styleId="11">
    <w:name w:val="标准文件_一级条标题"/>
    <w:basedOn w:val="7"/>
    <w:next w:val="8"/>
    <w:qFormat/>
    <w:uiPriority w:val="0"/>
    <w:pPr>
      <w:numPr>
        <w:ilvl w:val="2"/>
      </w:numPr>
      <w:spacing w:beforeLines="50" w:afterLines="50"/>
      <w:outlineLvl w:val="1"/>
    </w:pPr>
  </w:style>
  <w:style w:type="paragraph" w:customStyle="1" w:styleId="12">
    <w:name w:val="标准文件_注×："/>
    <w:qFormat/>
    <w:uiPriority w:val="0"/>
    <w:pPr>
      <w:widowControl w:val="0"/>
      <w:numPr>
        <w:ilvl w:val="0"/>
        <w:numId w:val="2"/>
      </w:numPr>
      <w:autoSpaceDE w:val="0"/>
      <w:autoSpaceDN w:val="0"/>
      <w:jc w:val="both"/>
    </w:pPr>
    <w:rPr>
      <w:rFonts w:ascii="宋体" w:hAnsi="Times New Roman" w:eastAsia="宋体" w:cs="Times New Roman"/>
      <w:sz w:val="18"/>
      <w:szCs w:val="18"/>
      <w:lang w:val="en-US" w:eastAsia="zh-CN" w:bidi="ar-SA"/>
    </w:rPr>
  </w:style>
  <w:style w:type="paragraph" w:customStyle="1" w:styleId="13">
    <w:name w:val="标准文件_二级无标题"/>
    <w:basedOn w:val="14"/>
    <w:qFormat/>
    <w:uiPriority w:val="0"/>
    <w:pPr>
      <w:spacing w:beforeLines="0" w:afterLines="0"/>
      <w:outlineLvl w:val="9"/>
    </w:pPr>
    <w:rPr>
      <w:rFonts w:ascii="宋体" w:eastAsia="宋体"/>
    </w:rPr>
  </w:style>
  <w:style w:type="paragraph" w:customStyle="1" w:styleId="14">
    <w:name w:val="标准文件_二级条标题"/>
    <w:next w:val="8"/>
    <w:qFormat/>
    <w:uiPriority w:val="0"/>
    <w:pPr>
      <w:widowControl w:val="0"/>
      <w:numPr>
        <w:ilvl w:val="3"/>
        <w:numId w:val="1"/>
      </w:numPr>
      <w:spacing w:beforeLines="50" w:afterLines="50"/>
      <w:jc w:val="both"/>
      <w:outlineLvl w:val="2"/>
    </w:pPr>
    <w:rPr>
      <w:rFonts w:ascii="黑体" w:hAnsi="Times New Roman" w:eastAsia="黑体" w:cs="Times New Roman"/>
      <w:sz w:val="21"/>
      <w:szCs w:val="22"/>
      <w:lang w:val="en-US" w:eastAsia="zh-CN" w:bidi="ar-SA"/>
    </w:rPr>
  </w:style>
  <w:style w:type="paragraph" w:customStyle="1" w:styleId="15">
    <w:name w:val="标准文件_注："/>
    <w:next w:val="8"/>
    <w:qFormat/>
    <w:uiPriority w:val="0"/>
    <w:pPr>
      <w:widowControl w:val="0"/>
      <w:numPr>
        <w:ilvl w:val="0"/>
        <w:numId w:val="3"/>
      </w:numPr>
      <w:autoSpaceDE w:val="0"/>
      <w:autoSpaceDN w:val="0"/>
      <w:jc w:val="both"/>
    </w:pPr>
    <w:rPr>
      <w:rFonts w:ascii="宋体" w:hAnsi="Times New Roman" w:eastAsia="宋体" w:cs="Times New Roman"/>
      <w:sz w:val="18"/>
      <w:szCs w:val="18"/>
      <w:lang w:val="en-US" w:eastAsia="zh-CN" w:bidi="ar-SA"/>
    </w:rPr>
  </w:style>
  <w:style w:type="paragraph" w:customStyle="1" w:styleId="16">
    <w:name w:val="标准文件_一级项"/>
    <w:qFormat/>
    <w:uiPriority w:val="0"/>
    <w:pPr>
      <w:numPr>
        <w:ilvl w:val="0"/>
        <w:numId w:val="4"/>
      </w:numPr>
    </w:pPr>
    <w:rPr>
      <w:rFonts w:ascii="宋体" w:hAnsi="Times New Roman" w:eastAsia="宋体" w:cs="Times New Roman"/>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glossaryDocument" Target="glossary/document.xml"/><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glossary/_rels/document.xml.rels><?xml version="1.0" encoding="UTF-8" standalone="yes"?>
<Relationships xmlns="http://schemas.openxmlformats.org/package/2006/relationships"><Relationship Id="rId3"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47c2993b-4168-475a-a7b7-7cd3a08ac4e3}"/>
        <w:style w:val=""/>
        <w:category>
          <w:name w:val="常规"/>
          <w:gallery w:val="placeholder"/>
        </w:category>
        <w:types>
          <w:type w:val="bbPlcHdr"/>
        </w:types>
        <w:behaviors>
          <w:behavior w:val="content"/>
        </w:behaviors>
        <w:description w:val=""/>
        <w:guid w:val="{47c2993b-4168-475a-a7b7-7cd3a08ac4e3}"/>
      </w:docPartPr>
      <w:docPartBody>
        <w:p>
          <w:pPr>
            <w:pStyle w:val="2"/>
            <w:rPr>
              <w:rFonts w:hint="eastAsia"/>
            </w:rPr>
          </w:pPr>
          <w:r>
            <w:rPr>
              <w:rStyle w:val="3"/>
              <w:rFonts w:hint="eastAsia"/>
            </w:rPr>
            <w:t>单击或点击此处输入文字。</w:t>
          </w:r>
        </w:p>
      </w:docPartBody>
    </w:docPart>
    <w:docPart>
      <w:docPartPr>
        <w:name w:val="{65f27e45-75fb-4d73-9bac-dbbc5932b35f}"/>
        <w:style w:val=""/>
        <w:category>
          <w:name w:val="常规"/>
          <w:gallery w:val="placeholder"/>
        </w:category>
        <w:types>
          <w:type w:val="bbPlcHdr"/>
        </w:types>
        <w:behaviors>
          <w:behavior w:val="content"/>
        </w:behaviors>
        <w:description w:val=""/>
        <w:guid w:val="{65f27e45-75fb-4d73-9bac-dbbc5932b35f}"/>
      </w:docPartPr>
      <w:docPartBody>
        <w:p>
          <w:pPr>
            <w:pStyle w:val="4"/>
            <w:rPr>
              <w:rFonts w:hint="eastAsia"/>
            </w:rPr>
          </w:pPr>
          <w:r>
            <w:rPr>
              <w:rStyle w:val="3"/>
              <w:rFonts w:hint="eastAsia"/>
            </w:rPr>
            <w:t>选择一项。</w:t>
          </w:r>
        </w:p>
      </w:docPartBody>
    </w:docPart>
    <w:docPart>
      <w:docPartPr>
        <w:name w:val="{10abf09a-9d16-4f64-9f62-6722efe37acf}"/>
        <w:style w:val=""/>
        <w:category>
          <w:name w:val="常规"/>
          <w:gallery w:val="placeholder"/>
        </w:category>
        <w:types>
          <w:type w:val="bbPlcHdr"/>
        </w:types>
        <w:behaviors>
          <w:behavior w:val="content"/>
        </w:behaviors>
        <w:description w:val=""/>
        <w:guid w:val="{10abf09a-9d16-4f64-9f62-6722efe37acf}"/>
      </w:docPartPr>
      <w:docPartBody>
        <w:p>
          <w:pPr>
            <w:pStyle w:val="5"/>
            <w:rPr>
              <w:rFonts w:hint="eastAsia"/>
            </w:rPr>
          </w:pPr>
          <w:r>
            <w:rPr>
              <w:rStyle w:val="3"/>
              <w:rFonts w:hint="eastAsia"/>
            </w:rPr>
            <w:t>选择一项。</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Arial">
    <w:panose1 w:val="020B0604020202020204"/>
    <w:charset w:val="00"/>
    <w:family w:val="swiss"/>
    <w:pitch w:val="default"/>
    <w:sig w:usb0="E0002EFF" w:usb1="C000785B" w:usb2="00000009" w:usb3="00000000" w:csb0="400001FF" w:csb1="FFFF0000"/>
  </w:font>
  <w:font w:name="方正仿宋_GBK">
    <w:altName w:val="微软雅黑"/>
    <w:panose1 w:val="00000000000000000000"/>
    <w:charset w:val="00"/>
    <w:family w:val="auto"/>
    <w:pitch w:val="default"/>
    <w:sig w:usb0="00000000" w:usb1="00000000" w:usb2="00000000" w:usb3="00000000" w:csb0="00000000"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compat>
    <w:useFELayout/>
    <w:compatSetting w:name="compatibilityMode" w:uri="http://schemas.microsoft.com/office/word" w:val="14"/>
  </w:compat>
  <w:rsids>
    <w:rsidRoot w:val="00000000"/>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uiPriority="1" w:semiHidden="0" w:name="Default Paragraph Font"/>
  </w:latentStyles>
  <w:style w:type="character" w:default="1" w:styleId="1">
    <w:name w:val="Default Paragraph Font"/>
    <w:unhideWhenUsed/>
    <w:uiPriority w:val="1"/>
  </w:style>
  <w:style w:type="paragraph" w:customStyle="1" w:styleId="2">
    <w:name w:val="9AC5BC91988E49929D3468CD5BF0A32E"/>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customStyle="1" w:styleId="3">
    <w:name w:val="占位符文本1"/>
    <w:basedOn w:val="1"/>
    <w:semiHidden/>
    <w:qFormat/>
    <w:uiPriority w:val="99"/>
    <w:rPr>
      <w:color w:val="808080"/>
    </w:rPr>
  </w:style>
  <w:style w:type="paragraph" w:customStyle="1" w:styleId="4">
    <w:name w:val="105286BAA9E246E4A0AC0CF916C3C4C6"/>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customStyle="1" w:styleId="5">
    <w:name w:val="95B59EC25A874DE5BC605C805EB9650A"/>
    <w:qFormat/>
    <w:uiPriority w:val="0"/>
    <w:pPr>
      <w:widowControl w:val="0"/>
      <w:jc w:val="both"/>
    </w:pPr>
    <w:rPr>
      <w:rFonts w:asciiTheme="minorHAnsi" w:hAnsiTheme="minorHAnsi" w:eastAsiaTheme="minorEastAsia" w:cstheme="minorBidi"/>
      <w:kern w:val="2"/>
      <w:sz w:val="21"/>
      <w:szCs w:val="22"/>
      <w:lang w:val="en-US" w:eastAsia="zh-CN" w:bidi="ar-SA"/>
    </w:rPr>
  </w:style>
</w:style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Office_10.8.0.5715_F1E327BC-269C-435d-A152-05C5408002CA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Yuan</dc:creator>
  <cp:lastModifiedBy>袁瑞阳</cp:lastModifiedBy>
  <cp:lastPrinted>2025-02-14T00:46:39Z</cp:lastPrinted>
  <dcterms:modified xsi:type="dcterms:W3CDTF">2025-02-14T00:47:03Z</dcterms:modified>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2052-10.8.0.5715</vt:lpwstr>
  </property>
</Properties>
</file>