
<file path=[Content_Types].xml><?xml version="1.0" encoding="utf-8"?>
<Types xmlns="http://schemas.openxmlformats.org/package/2006/content-types">
  <Default Extension="xml" ContentType="application/xml"/>
  <Default Extension="png" ContentType="image/png"/>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8"/>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9"/>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03.080</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9"/>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A12</w:t>
            </w:r>
            <w:r>
              <w:rPr>
                <w:rFonts w:ascii="黑体" w:hAnsi="黑体" w:eastAsia="黑体"/>
                <w:sz w:val="21"/>
                <w:szCs w:val="21"/>
              </w:rPr>
              <w:fldChar w:fldCharType="end"/>
            </w:r>
            <w:bookmarkEnd w:id="1"/>
          </w:p>
        </w:tc>
      </w:tr>
    </w:tbl>
    <w:tbl>
      <w:tblPr>
        <w:tblStyle w:val="28"/>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50"/>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3413</w:t>
            </w:r>
            <w:r>
              <w:fldChar w:fldCharType="end"/>
            </w:r>
            <w:bookmarkEnd w:id="3"/>
          </w:p>
        </w:tc>
      </w:tr>
    </w:tbl>
    <w:p>
      <w:pPr>
        <w:pStyle w:val="51"/>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宿州市</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6"/>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3413/T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7"/>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60288"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60288;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ng0mW2AAAAAwBAAAPAAAAAAAAAAEAIAAAACIAAABkcnMv&#10;ZG93bnJldi54bWxQSwECFAAUAAAACACHTuJAeCbvfcoBAABeAwAADgAAAAAAAAABACAAAAAnAQAA&#10;ZHJzL2Uyb0RvYy54bWxQSwUGAAAAAAYABgBZAQAAYwUAAAAA&#10;">
                <v:fill on="f" focussize="0,0"/>
                <v:stroke color="#000000" joinstyle="round"/>
                <v:imagedata o:title=""/>
                <o:lock v:ext="edit" aspectratio="f"/>
              </v:line>
            </w:pict>
          </mc:Fallback>
        </mc:AlternateContent>
      </w:r>
    </w:p>
    <w:p>
      <w:pPr>
        <w:pStyle w:val="51"/>
        <w:framePr w:w="9639" w:h="6976" w:hRule="exact" w:hSpace="0" w:vSpace="0" w:wrap="around" w:hAnchor="page" w:y="6408"/>
        <w:jc w:val="center"/>
        <w:rPr>
          <w:rFonts w:ascii="黑体" w:hAnsi="黑体" w:eastAsia="黑体"/>
          <w:b w:val="0"/>
          <w:bCs w:val="0"/>
          <w:w w:val="100"/>
        </w:rPr>
      </w:pPr>
    </w:p>
    <w:p>
      <w:pPr>
        <w:pStyle w:val="198"/>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产业园区"464"服务高质量发展行动工作站建设及服务规范</w:t>
      </w:r>
      <w:r>
        <w:fldChar w:fldCharType="end"/>
      </w:r>
      <w:bookmarkEnd w:id="9"/>
    </w:p>
    <w:p>
      <w:pPr>
        <w:framePr w:w="9639" w:h="6974" w:hRule="exact" w:wrap="around" w:vAnchor="page" w:hAnchor="page" w:x="1419" w:y="6408" w:anchorLock="1"/>
        <w:ind w:left="-1418"/>
      </w:pPr>
    </w:p>
    <w:p>
      <w:pPr>
        <w:pStyle w:val="126"/>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6"/>
        <w:framePr w:w="9639" w:h="6974" w:hRule="exact" w:wrap="around" w:vAnchor="page" w:hAnchor="page" w:x="1419" w:y="6408" w:anchorLock="1"/>
        <w:textAlignment w:val="bottom"/>
        <w:rPr>
          <w:rFonts w:eastAsia="黑体"/>
          <w:szCs w:val="28"/>
        </w:rPr>
      </w:pPr>
    </w:p>
    <w:p>
      <w:pPr>
        <w:pStyle w:val="126"/>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6"/>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6"/>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4"/>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5"/>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2"/>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宿州市市场监督管理局</w:t>
      </w:r>
      <w:r>
        <w:rPr>
          <w:rFonts w:hAnsi="黑体"/>
          <w:w w:val="100"/>
          <w:sz w:val="28"/>
        </w:rPr>
        <w:fldChar w:fldCharType="end"/>
      </w:r>
      <w:bookmarkEnd w:id="20"/>
      <w:r>
        <w:rPr>
          <w:rFonts w:ascii="Times New Roman"/>
          <w:w w:val="100"/>
          <w:sz w:val="28"/>
        </w:rPr>
        <w:t>  </w:t>
      </w:r>
      <w:r>
        <w:rPr>
          <w:rStyle w:val="230"/>
          <w:rFonts w:hint="eastAsia" w:hAnsi="黑体"/>
          <w:position w:val="0"/>
        </w:rPr>
        <w:t>发</w:t>
      </w:r>
      <w:r>
        <w:rPr>
          <w:rStyle w:val="230"/>
          <w:rFonts w:hint="eastAsia" w:hAnsi="黑体"/>
          <w:spacing w:val="0"/>
          <w:position w:val="0"/>
        </w:rPr>
        <w:t>布</w:t>
      </w:r>
    </w:p>
    <w:p>
      <w:pPr>
        <w:rPr>
          <w:rFonts w:ascii="宋体" w:hAnsi="宋体"/>
          <w:sz w:val="28"/>
          <w:szCs w:val="28"/>
        </w:rPr>
        <w:sectPr>
          <w:headerReference r:id="rId5" w:type="first"/>
          <w:footerReference r:id="rId8" w:type="first"/>
          <w:headerReference r:id="rId3" w:type="default"/>
          <w:footerReference r:id="rId6" w:type="default"/>
          <w:headerReference r:id="rId4" w:type="even"/>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3360"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3360;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rMxz71wAAAA4BAAAPAAAAAAAAAAEAIAAAACIAAABkcnMvZG93&#10;bnJldi54bWxQSwECFAAUAAAACACHTuJAqt0+T8gBAABcAwAADgAAAAAAAAABACAAAAAmAQAAZHJz&#10;L2Uyb0RvYy54bWxQSwUGAAAAAAYABgBZAQAAYAUAAAAA&#10;">
                <v:fill on="f" focussize="0,0"/>
                <v:stroke color="#000000" joinstyle="round"/>
                <v:imagedata o:title=""/>
                <o:lock v:ext="edit" aspectratio="f"/>
                <w10:anchorlock/>
              </v:line>
            </w:pict>
          </mc:Fallback>
        </mc:AlternateContent>
      </w:r>
    </w:p>
    <w:p>
      <w:pPr>
        <w:pStyle w:val="92"/>
        <w:spacing w:after="468"/>
        <w:rPr>
          <w:rFonts w:hint="eastAsia"/>
        </w:rPr>
      </w:pPr>
      <w:bookmarkStart w:id="21" w:name="BookMark1"/>
      <w:r>
        <w:rPr>
          <w:rFonts w:hint="eastAsia"/>
          <w:spacing w:val="320"/>
        </w:rPr>
        <w:t>目</w:t>
      </w:r>
      <w:r>
        <w:rPr>
          <w:rFonts w:hint="eastAsia"/>
        </w:rPr>
        <w:t>次</w:t>
      </w:r>
    </w:p>
    <w:p>
      <w:pPr>
        <w:pStyle w:val="20"/>
        <w:tabs>
          <w:tab w:val="right" w:leader="dot" w:pos="9344"/>
        </w:tabs>
        <w:rPr>
          <w:rFonts w:asciiTheme="minorHAnsi" w:hAnsiTheme="minorHAnsi" w:eastAsiaTheme="minorEastAsia" w:cstheme="minorBidi"/>
          <w:szCs w:val="22"/>
        </w:rPr>
      </w:pPr>
      <w:r>
        <w:fldChar w:fldCharType="begin"/>
      </w:r>
      <w:r>
        <w:instrText xml:space="preserve"> TOC \o "1-1" \h \t "标准文件_一级条标题,2,标准文件_二级条标题,3,标准文件_附录一级条标题,2,标准文件_附录二级条标题,3," </w:instrText>
      </w:r>
      <w:r>
        <w:fldChar w:fldCharType="separate"/>
      </w:r>
      <w:r>
        <w:fldChar w:fldCharType="begin"/>
      </w:r>
      <w:r>
        <w:instrText xml:space="preserve"> HYPERLINK \l "_Toc111809901" </w:instrText>
      </w:r>
      <w:r>
        <w:fldChar w:fldCharType="separate"/>
      </w:r>
      <w:r>
        <w:rPr>
          <w:rStyle w:val="33"/>
        </w:rPr>
        <w:t>前言</w:t>
      </w:r>
      <w:r>
        <w:tab/>
      </w:r>
      <w:r>
        <w:fldChar w:fldCharType="begin"/>
      </w:r>
      <w:r>
        <w:instrText xml:space="preserve"> PAGEREF _Toc111809901 \h </w:instrText>
      </w:r>
      <w:r>
        <w:fldChar w:fldCharType="separate"/>
      </w:r>
      <w:r>
        <w:t>II</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"_Toc111809902" </w:instrText>
      </w:r>
      <w:r>
        <w:fldChar w:fldCharType="separate"/>
      </w:r>
      <w:r>
        <w:rPr>
          <w:rStyle w:val="33"/>
        </w:rPr>
        <w:t>1  范围</w:t>
      </w:r>
      <w:r>
        <w:tab/>
      </w:r>
      <w:r>
        <w:fldChar w:fldCharType="begin"/>
      </w:r>
      <w:r>
        <w:instrText xml:space="preserve"> PAGEREF _Toc111809902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"_Toc111809903" </w:instrText>
      </w:r>
      <w:r>
        <w:fldChar w:fldCharType="separate"/>
      </w:r>
      <w:r>
        <w:rPr>
          <w:rStyle w:val="33"/>
        </w:rPr>
        <w:t>2  规范性引用文件</w:t>
      </w:r>
      <w:r>
        <w:tab/>
      </w:r>
      <w:r>
        <w:fldChar w:fldCharType="begin"/>
      </w:r>
      <w:r>
        <w:instrText xml:space="preserve"> PAGEREF _Toc111809903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"_Toc111809904" </w:instrText>
      </w:r>
      <w:r>
        <w:fldChar w:fldCharType="separate"/>
      </w:r>
      <w:r>
        <w:rPr>
          <w:rStyle w:val="33"/>
        </w:rPr>
        <w:t>3  术语和定义</w:t>
      </w:r>
      <w:r>
        <w:tab/>
      </w:r>
      <w:r>
        <w:fldChar w:fldCharType="begin"/>
      </w:r>
      <w:r>
        <w:instrText xml:space="preserve"> PAGEREF _Toc111809904 \h </w:instrText>
      </w:r>
      <w:r>
        <w:fldChar w:fldCharType="separate"/>
      </w:r>
      <w:r>
        <w:t>1</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"_Toc111809905" </w:instrText>
      </w:r>
      <w:r>
        <w:fldChar w:fldCharType="separate"/>
      </w:r>
      <w:r>
        <w:rPr>
          <w:rStyle w:val="33"/>
        </w:rPr>
        <w:t>4  建设要求</w:t>
      </w:r>
      <w:r>
        <w:tab/>
      </w:r>
      <w:r>
        <w:fldChar w:fldCharType="begin"/>
      </w:r>
      <w:r>
        <w:instrText xml:space="preserve"> PAGEREF _Toc111809905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"_Toc111809906" </w:instrText>
      </w:r>
      <w:r>
        <w:fldChar w:fldCharType="separate"/>
      </w:r>
      <w:r>
        <w:rPr>
          <w:rStyle w:val="33"/>
          <w14:scene3d>
            <w14:lightRig w14:rig="threePt" w14:dir="t">
              <w14:rot w14:lat="0" w14:lon="0" w14:rev="0"/>
            </w14:lightRig>
          </w14:scene3d>
        </w:rPr>
        <w:t xml:space="preserve">4.1 </w:t>
      </w:r>
      <w:r>
        <w:rPr>
          <w:rStyle w:val="33"/>
        </w:rPr>
        <w:t xml:space="preserve"> 选址要求</w:t>
      </w:r>
      <w:r>
        <w:tab/>
      </w:r>
      <w:r>
        <w:fldChar w:fldCharType="begin"/>
      </w:r>
      <w:r>
        <w:instrText xml:space="preserve"> PAGEREF _Toc111809906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"_Toc111809907" </w:instrText>
      </w:r>
      <w:r>
        <w:fldChar w:fldCharType="separate"/>
      </w:r>
      <w:r>
        <w:rPr>
          <w:rStyle w:val="33"/>
          <w14:scene3d>
            <w14:lightRig w14:rig="threePt" w14:dir="t">
              <w14:rot w14:lat="0" w14:lon="0" w14:rev="0"/>
            </w14:lightRig>
          </w14:scene3d>
        </w:rPr>
        <w:t xml:space="preserve">4.2 </w:t>
      </w:r>
      <w:r>
        <w:rPr>
          <w:rStyle w:val="33"/>
        </w:rPr>
        <w:t xml:space="preserve"> 工作场所</w:t>
      </w:r>
      <w:r>
        <w:tab/>
      </w:r>
      <w:r>
        <w:fldChar w:fldCharType="begin"/>
      </w:r>
      <w:r>
        <w:instrText xml:space="preserve"> PAGEREF _Toc111809907 \h </w:instrText>
      </w:r>
      <w:r>
        <w:fldChar w:fldCharType="separate"/>
      </w:r>
      <w:r>
        <w:t>1</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"_Toc111809908" </w:instrText>
      </w:r>
      <w:r>
        <w:fldChar w:fldCharType="separate"/>
      </w:r>
      <w:r>
        <w:rPr>
          <w:rStyle w:val="33"/>
          <w14:scene3d>
            <w14:lightRig w14:rig="threePt" w14:dir="t">
              <w14:rot w14:lat="0" w14:lon="0" w14:rev="0"/>
            </w14:lightRig>
          </w14:scene3d>
        </w:rPr>
        <w:t xml:space="preserve">4.3 </w:t>
      </w:r>
      <w:r>
        <w:rPr>
          <w:rStyle w:val="33"/>
        </w:rPr>
        <w:t xml:space="preserve"> 设施设备</w:t>
      </w:r>
      <w:r>
        <w:tab/>
      </w:r>
      <w:r>
        <w:fldChar w:fldCharType="begin"/>
      </w:r>
      <w:r>
        <w:instrText xml:space="preserve"> PAGEREF _Toc111809908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"_Toc111809909" </w:instrText>
      </w:r>
      <w:r>
        <w:fldChar w:fldCharType="separate"/>
      </w:r>
      <w:r>
        <w:rPr>
          <w:rStyle w:val="33"/>
          <w14:scene3d>
            <w14:lightRig w14:rig="threePt" w14:dir="t">
              <w14:rot w14:lat="0" w14:lon="0" w14:rev="0"/>
            </w14:lightRig>
          </w14:scene3d>
        </w:rPr>
        <w:t xml:space="preserve">4.4 </w:t>
      </w:r>
      <w:r>
        <w:rPr>
          <w:rStyle w:val="33"/>
        </w:rPr>
        <w:t xml:space="preserve"> 人员配备</w:t>
      </w:r>
      <w:r>
        <w:tab/>
      </w:r>
      <w:r>
        <w:fldChar w:fldCharType="begin"/>
      </w:r>
      <w:r>
        <w:instrText xml:space="preserve"> PAGEREF _Toc111809909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"_Toc111809910" </w:instrText>
      </w:r>
      <w:r>
        <w:fldChar w:fldCharType="separate"/>
      </w:r>
      <w:r>
        <w:rPr>
          <w:rStyle w:val="33"/>
          <w14:scene3d>
            <w14:lightRig w14:rig="threePt" w14:dir="t">
              <w14:rot w14:lat="0" w14:lon="0" w14:rev="0"/>
            </w14:lightRig>
          </w14:scene3d>
        </w:rPr>
        <w:t xml:space="preserve">4.5 </w:t>
      </w:r>
      <w:r>
        <w:rPr>
          <w:rStyle w:val="33"/>
        </w:rPr>
        <w:t xml:space="preserve"> 制度建设</w:t>
      </w:r>
      <w:r>
        <w:tab/>
      </w:r>
      <w:r>
        <w:fldChar w:fldCharType="begin"/>
      </w:r>
      <w:r>
        <w:instrText xml:space="preserve"> PAGEREF _Toc111809910 \h </w:instrText>
      </w:r>
      <w:r>
        <w:fldChar w:fldCharType="separate"/>
      </w:r>
      <w:r>
        <w:t>2</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"_Toc111809911" </w:instrText>
      </w:r>
      <w:r>
        <w:fldChar w:fldCharType="separate"/>
      </w:r>
      <w:r>
        <w:rPr>
          <w:rStyle w:val="33"/>
        </w:rPr>
        <w:t>5  服务要求</w:t>
      </w:r>
      <w:r>
        <w:tab/>
      </w:r>
      <w:r>
        <w:fldChar w:fldCharType="begin"/>
      </w:r>
      <w:r>
        <w:instrText xml:space="preserve"> PAGEREF _Toc111809911 \h </w:instrText>
      </w:r>
      <w:r>
        <w:fldChar w:fldCharType="separate"/>
      </w:r>
      <w:r>
        <w:t>2</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"_Toc111809912" </w:instrText>
      </w:r>
      <w:r>
        <w:fldChar w:fldCharType="separate"/>
      </w:r>
      <w:r>
        <w:rPr>
          <w:rStyle w:val="33"/>
          <w14:scene3d>
            <w14:lightRig w14:rig="threePt" w14:dir="t">
              <w14:rot w14:lat="0" w14:lon="0" w14:rev="0"/>
            </w14:lightRig>
          </w14:scene3d>
        </w:rPr>
        <w:t xml:space="preserve">5.1 </w:t>
      </w:r>
      <w:r>
        <w:rPr>
          <w:rStyle w:val="33"/>
        </w:rPr>
        <w:t xml:space="preserve"> 服务项目</w:t>
      </w:r>
      <w:r>
        <w:tab/>
      </w:r>
      <w:r>
        <w:fldChar w:fldCharType="begin"/>
      </w:r>
      <w:r>
        <w:instrText xml:space="preserve"> PAGEREF _Toc111809912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"_Toc111809913" </w:instrText>
      </w:r>
      <w:r>
        <w:fldChar w:fldCharType="separate"/>
      </w:r>
      <w:r>
        <w:rPr>
          <w:rStyle w:val="33"/>
        </w:rPr>
        <w:t>5.1.1  教育和培训服务</w:t>
      </w:r>
      <w:r>
        <w:tab/>
      </w:r>
      <w:r>
        <w:fldChar w:fldCharType="begin"/>
      </w:r>
      <w:r>
        <w:instrText xml:space="preserve"> PAGEREF _Toc111809913 \h </w:instrText>
      </w:r>
      <w:r>
        <w:fldChar w:fldCharType="separate"/>
      </w:r>
      <w:r>
        <w:t>2</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"_Toc111809914" </w:instrText>
      </w:r>
      <w:r>
        <w:fldChar w:fldCharType="separate"/>
      </w:r>
      <w:r>
        <w:rPr>
          <w:rStyle w:val="33"/>
        </w:rPr>
        <w:t>5.1.2  体检诊断服务</w:t>
      </w:r>
      <w:r>
        <w:tab/>
      </w:r>
      <w:r>
        <w:fldChar w:fldCharType="begin"/>
      </w:r>
      <w:r>
        <w:instrText xml:space="preserve"> PAGEREF _Toc111809914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"_Toc111809915" </w:instrText>
      </w:r>
      <w:r>
        <w:fldChar w:fldCharType="separate"/>
      </w:r>
      <w:r>
        <w:rPr>
          <w:rStyle w:val="33"/>
        </w:rPr>
        <w:t>5.1.3  质量管理服务</w:t>
      </w:r>
      <w:r>
        <w:tab/>
      </w:r>
      <w:r>
        <w:fldChar w:fldCharType="begin"/>
      </w:r>
      <w:r>
        <w:instrText xml:space="preserve"> PAGEREF _Toc111809915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"_Toc111809916" </w:instrText>
      </w:r>
      <w:r>
        <w:fldChar w:fldCharType="separate"/>
      </w:r>
      <w:r>
        <w:rPr>
          <w:rStyle w:val="33"/>
        </w:rPr>
        <w:t>5.1.4  标准化服务</w:t>
      </w:r>
      <w:r>
        <w:tab/>
      </w:r>
      <w:r>
        <w:fldChar w:fldCharType="begin"/>
      </w:r>
      <w:r>
        <w:instrText xml:space="preserve"> PAGEREF _Toc111809916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"_Toc111809917" </w:instrText>
      </w:r>
      <w:r>
        <w:fldChar w:fldCharType="separate"/>
      </w:r>
      <w:r>
        <w:rPr>
          <w:rStyle w:val="33"/>
        </w:rPr>
        <w:t>5.1.5  计量服务</w:t>
      </w:r>
      <w:r>
        <w:tab/>
      </w:r>
      <w:r>
        <w:fldChar w:fldCharType="begin"/>
      </w:r>
      <w:r>
        <w:instrText xml:space="preserve"> PAGEREF _Toc111809917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"_Toc111809918" </w:instrText>
      </w:r>
      <w:r>
        <w:fldChar w:fldCharType="separate"/>
      </w:r>
      <w:r>
        <w:rPr>
          <w:rStyle w:val="33"/>
        </w:rPr>
        <w:t>5.1.6  产品检验检测服务</w:t>
      </w:r>
      <w:r>
        <w:tab/>
      </w:r>
      <w:r>
        <w:fldChar w:fldCharType="begin"/>
      </w:r>
      <w:r>
        <w:instrText xml:space="preserve"> PAGEREF _Toc111809918 \h </w:instrText>
      </w:r>
      <w:r>
        <w:fldChar w:fldCharType="separate"/>
      </w:r>
      <w:r>
        <w:t>3</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"_Toc111809919" </w:instrText>
      </w:r>
      <w:r>
        <w:fldChar w:fldCharType="separate"/>
      </w:r>
      <w:r>
        <w:rPr>
          <w:rStyle w:val="33"/>
        </w:rPr>
        <w:t>5.1.7  特种设备服务</w:t>
      </w:r>
      <w:r>
        <w:tab/>
      </w:r>
      <w:r>
        <w:fldChar w:fldCharType="begin"/>
      </w:r>
      <w:r>
        <w:instrText xml:space="preserve"> PAGEREF _Toc111809919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"_Toc111809920" </w:instrText>
      </w:r>
      <w:r>
        <w:fldChar w:fldCharType="separate"/>
      </w:r>
      <w:r>
        <w:rPr>
          <w:rStyle w:val="33"/>
        </w:rPr>
        <w:t>5.1.8  认证认可服务</w:t>
      </w:r>
      <w:r>
        <w:tab/>
      </w:r>
      <w:r>
        <w:fldChar w:fldCharType="begin"/>
      </w:r>
      <w:r>
        <w:instrText xml:space="preserve"> PAGEREF _Toc111809920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"_Toc111809921" </w:instrText>
      </w:r>
      <w:r>
        <w:fldChar w:fldCharType="separate"/>
      </w:r>
      <w:r>
        <w:rPr>
          <w:rStyle w:val="33"/>
        </w:rPr>
        <w:t>5.1.9  知识产权服务</w:t>
      </w:r>
      <w:r>
        <w:tab/>
      </w:r>
      <w:r>
        <w:fldChar w:fldCharType="begin"/>
      </w:r>
      <w:r>
        <w:instrText xml:space="preserve"> PAGEREF _Toc111809921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"_Toc111809922" </w:instrText>
      </w:r>
      <w:r>
        <w:fldChar w:fldCharType="separate"/>
      </w:r>
      <w:r>
        <w:rPr>
          <w:rStyle w:val="33"/>
        </w:rPr>
        <w:t>5.1.10  市场准入服务</w:t>
      </w:r>
      <w:r>
        <w:tab/>
      </w:r>
      <w:r>
        <w:fldChar w:fldCharType="begin"/>
      </w:r>
      <w:r>
        <w:instrText xml:space="preserve"> PAGEREF _Toc111809922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"_Toc111809923" </w:instrText>
      </w:r>
      <w:r>
        <w:fldChar w:fldCharType="separate"/>
      </w:r>
      <w:r>
        <w:rPr>
          <w:rStyle w:val="33"/>
        </w:rPr>
        <w:t>5.1.11  其他服务</w:t>
      </w:r>
      <w:r>
        <w:tab/>
      </w:r>
      <w:r>
        <w:fldChar w:fldCharType="begin"/>
      </w:r>
      <w:r>
        <w:instrText xml:space="preserve"> PAGEREF _Toc111809923 \h </w:instrText>
      </w:r>
      <w:r>
        <w:fldChar w:fldCharType="separate"/>
      </w:r>
      <w:r>
        <w:t>4</w:t>
      </w:r>
      <w:r>
        <w:fldChar w:fldCharType="end"/>
      </w:r>
      <w:r>
        <w:fldChar w:fldCharType="end"/>
      </w:r>
    </w:p>
    <w:p>
      <w:pPr>
        <w:pStyle w:val="25"/>
        <w:rPr>
          <w:rFonts w:asciiTheme="minorHAnsi" w:hAnsiTheme="minorHAnsi" w:eastAsiaTheme="minorEastAsia" w:cstheme="minorBidi"/>
          <w:szCs w:val="22"/>
        </w:rPr>
      </w:pPr>
      <w:r>
        <w:fldChar w:fldCharType="begin"/>
      </w:r>
      <w:r>
        <w:instrText xml:space="preserve"> HYPERLINK \l "_Toc111809924" </w:instrText>
      </w:r>
      <w:r>
        <w:fldChar w:fldCharType="separate"/>
      </w:r>
      <w:r>
        <w:rPr>
          <w:rStyle w:val="33"/>
          <w14:scene3d>
            <w14:lightRig w14:rig="threePt" w14:dir="t">
              <w14:rot w14:lat="0" w14:lon="0" w14:rev="0"/>
            </w14:lightRig>
          </w14:scene3d>
        </w:rPr>
        <w:t xml:space="preserve">5.2 </w:t>
      </w:r>
      <w:r>
        <w:rPr>
          <w:rStyle w:val="33"/>
        </w:rPr>
        <w:t xml:space="preserve"> 服务流程</w:t>
      </w:r>
      <w:r>
        <w:tab/>
      </w:r>
      <w:r>
        <w:fldChar w:fldCharType="begin"/>
      </w:r>
      <w:r>
        <w:instrText xml:space="preserve"> PAGEREF _Toc111809924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"_Toc111809925" </w:instrText>
      </w:r>
      <w:r>
        <w:fldChar w:fldCharType="separate"/>
      </w:r>
      <w:r>
        <w:rPr>
          <w:rStyle w:val="33"/>
        </w:rPr>
        <w:t>5.2.1  需求收集</w:t>
      </w:r>
      <w:r>
        <w:tab/>
      </w:r>
      <w:r>
        <w:fldChar w:fldCharType="begin"/>
      </w:r>
      <w:r>
        <w:instrText xml:space="preserve"> PAGEREF _Toc111809925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"_Toc111809926" </w:instrText>
      </w:r>
      <w:r>
        <w:fldChar w:fldCharType="separate"/>
      </w:r>
      <w:r>
        <w:rPr>
          <w:rStyle w:val="33"/>
        </w:rPr>
        <w:t>5.2.2  服务对接</w:t>
      </w:r>
      <w:r>
        <w:tab/>
      </w:r>
      <w:r>
        <w:fldChar w:fldCharType="begin"/>
      </w:r>
      <w:r>
        <w:instrText xml:space="preserve"> PAGEREF _Toc111809926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"_Toc111809927" </w:instrText>
      </w:r>
      <w:r>
        <w:fldChar w:fldCharType="separate"/>
      </w:r>
      <w:r>
        <w:rPr>
          <w:rStyle w:val="33"/>
        </w:rPr>
        <w:t>5.2.3  服务跟进</w:t>
      </w:r>
      <w:r>
        <w:tab/>
      </w:r>
      <w:r>
        <w:fldChar w:fldCharType="begin"/>
      </w:r>
      <w:r>
        <w:instrText xml:space="preserve"> PAGEREF _Toc111809927 \h </w:instrText>
      </w:r>
      <w:r>
        <w:fldChar w:fldCharType="separate"/>
      </w:r>
      <w:r>
        <w:t>4</w:t>
      </w:r>
      <w:r>
        <w:fldChar w:fldCharType="end"/>
      </w:r>
      <w:r>
        <w:fldChar w:fldCharType="end"/>
      </w:r>
    </w:p>
    <w:p>
      <w:pPr>
        <w:pStyle w:val="15"/>
        <w:tabs>
          <w:tab w:val="right" w:leader="dot" w:pos="9344"/>
        </w:tabs>
        <w:rPr>
          <w:rFonts w:asciiTheme="minorHAnsi" w:hAnsiTheme="minorHAnsi" w:eastAsiaTheme="minorEastAsia" w:cstheme="minorBidi"/>
          <w:szCs w:val="22"/>
        </w:rPr>
      </w:pPr>
      <w:r>
        <w:fldChar w:fldCharType="begin"/>
      </w:r>
      <w:r>
        <w:instrText xml:space="preserve"> HYPERLINK \l "_Toc111809928" </w:instrText>
      </w:r>
      <w:r>
        <w:fldChar w:fldCharType="separate"/>
      </w:r>
      <w:r>
        <w:rPr>
          <w:rStyle w:val="33"/>
        </w:rPr>
        <w:t>5.2.4  服务评价</w:t>
      </w:r>
      <w:r>
        <w:tab/>
      </w:r>
      <w:r>
        <w:fldChar w:fldCharType="begin"/>
      </w:r>
      <w:r>
        <w:instrText xml:space="preserve"> PAGEREF _Toc111809928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"_Toc111809929" </w:instrText>
      </w:r>
      <w:r>
        <w:fldChar w:fldCharType="separate"/>
      </w:r>
      <w:r>
        <w:rPr>
          <w:rStyle w:val="33"/>
        </w:rPr>
        <w:t>6  服务质量监督</w:t>
      </w:r>
      <w:r>
        <w:tab/>
      </w:r>
      <w:r>
        <w:fldChar w:fldCharType="begin"/>
      </w:r>
      <w:r>
        <w:instrText xml:space="preserve"> PAGEREF _Toc111809929 \h </w:instrText>
      </w:r>
      <w:r>
        <w:fldChar w:fldCharType="separate"/>
      </w:r>
      <w:r>
        <w:t>5</w:t>
      </w:r>
      <w:r>
        <w:fldChar w:fldCharType="end"/>
      </w:r>
      <w:r>
        <w:fldChar w:fldCharType="end"/>
      </w:r>
    </w:p>
    <w:p>
      <w:pPr>
        <w:pStyle w:val="20"/>
        <w:tabs>
          <w:tab w:val="right" w:leader="dot" w:pos="9344"/>
        </w:tabs>
        <w:rPr>
          <w:rFonts w:asciiTheme="minorHAnsi" w:hAnsiTheme="minorHAnsi" w:eastAsiaTheme="minorEastAsia" w:cstheme="minorBidi"/>
          <w:szCs w:val="22"/>
        </w:rPr>
      </w:pPr>
      <w:r>
        <w:fldChar w:fldCharType="begin"/>
      </w:r>
      <w:r>
        <w:instrText xml:space="preserve"> HYPERLINK \l "_Toc111809930" </w:instrText>
      </w:r>
      <w:r>
        <w:fldChar w:fldCharType="separate"/>
      </w:r>
      <w:r>
        <w:rPr>
          <w:rStyle w:val="33"/>
        </w:rPr>
        <w:t>7  档案管理</w:t>
      </w:r>
      <w:r>
        <w:tab/>
      </w:r>
      <w:r>
        <w:fldChar w:fldCharType="begin"/>
      </w:r>
      <w:r>
        <w:instrText xml:space="preserve"> PAGEREF _Toc111809930 \h </w:instrText>
      </w:r>
      <w:r>
        <w:fldChar w:fldCharType="separate"/>
      </w:r>
      <w:r>
        <w:t>5</w:t>
      </w:r>
      <w:r>
        <w:fldChar w:fldCharType="end"/>
      </w:r>
      <w:r>
        <w:fldChar w:fldCharType="end"/>
      </w:r>
    </w:p>
    <w:p>
      <w:pPr>
        <w:pStyle w:val="92"/>
        <w:spacing w:after="468"/>
        <w:sectPr>
          <w:headerReference r:id="rId9" w:type="default"/>
          <w:footerReference r:id="rId11" w:type="default"/>
          <w:headerReference r:id="rId10" w:type="even"/>
          <w:pgSz w:w="11906" w:h="16838"/>
          <w:pgMar w:top="1928" w:right="1134" w:bottom="1134" w:left="1134" w:header="1418" w:footer="1134" w:gutter="284"/>
          <w:pgNumType w:fmt="upperRoman" w:start="1"/>
          <w:cols w:space="425" w:num="1"/>
          <w:formProt w:val="0"/>
          <w:docGrid w:type="lines" w:linePitch="312" w:charSpace="0"/>
        </w:sectPr>
      </w:pPr>
      <w:r>
        <w:fldChar w:fldCharType="end"/>
      </w:r>
    </w:p>
    <w:bookmarkEnd w:id="21"/>
    <w:p>
      <w:pPr>
        <w:pStyle w:val="90"/>
        <w:spacing w:after="468"/>
      </w:pPr>
      <w:bookmarkStart w:id="22" w:name="_Toc111809901"/>
      <w:bookmarkStart w:id="23" w:name="BookMark2"/>
      <w:r>
        <w:rPr>
          <w:spacing w:val="320"/>
        </w:rPr>
        <w:t>前</w:t>
      </w:r>
      <w:r>
        <w:t>言</w:t>
      </w:r>
      <w:bookmarkEnd w:id="22"/>
    </w:p>
    <w:p>
      <w:pPr>
        <w:pStyle w:val="57"/>
        <w:ind w:firstLine="420"/>
      </w:pPr>
      <w:r>
        <w:rPr>
          <w:rFonts w:hint="eastAsia"/>
        </w:rPr>
        <w:t>本文件按照GB/T 1.1—2020《标准化工作导则  第1部分：标准化文件的结构和起草规则》的规定起草。</w:t>
      </w:r>
    </w:p>
    <w:p>
      <w:pPr>
        <w:pStyle w:val="57"/>
        <w:ind w:firstLine="420"/>
      </w:pPr>
      <w:r>
        <w:rPr>
          <w:rFonts w:hint="eastAsia"/>
        </w:rPr>
        <w:t>请注意本文件的某些内容可能涉及专利。本文件的发布机构不承担识别专利的责任。</w:t>
      </w:r>
    </w:p>
    <w:p>
      <w:pPr>
        <w:pStyle w:val="57"/>
        <w:ind w:firstLine="420"/>
      </w:pPr>
      <w:r>
        <w:rPr>
          <w:rFonts w:hint="eastAsia"/>
        </w:rPr>
        <w:t>本文件由宿州市市场监督管理局宿马现代产业园</w:t>
      </w:r>
      <w:r>
        <w:rPr>
          <w:rFonts w:hint="eastAsia"/>
          <w:lang w:eastAsia="zh-CN"/>
        </w:rPr>
        <w:t>区</w:t>
      </w:r>
      <w:r>
        <w:rPr>
          <w:rFonts w:hint="eastAsia"/>
        </w:rPr>
        <w:t>分局提出。</w:t>
      </w:r>
    </w:p>
    <w:p>
      <w:pPr>
        <w:pStyle w:val="57"/>
        <w:ind w:firstLine="420"/>
      </w:pPr>
      <w:r>
        <w:rPr>
          <w:rFonts w:hint="eastAsia"/>
        </w:rPr>
        <w:t>本文件由宿州市市场监督管理局归口。</w:t>
      </w:r>
    </w:p>
    <w:p>
      <w:pPr>
        <w:pStyle w:val="57"/>
        <w:ind w:firstLine="420"/>
      </w:pPr>
      <w:r>
        <w:rPr>
          <w:rFonts w:hint="eastAsia"/>
        </w:rPr>
        <w:t>本文件起草单位：宿州市市场监督管理局宿马现代产业园</w:t>
      </w:r>
      <w:r>
        <w:rPr>
          <w:rFonts w:hint="eastAsia"/>
          <w:lang w:eastAsia="zh-CN"/>
        </w:rPr>
        <w:t>区</w:t>
      </w:r>
      <w:bookmarkStart w:id="81" w:name="_GoBack"/>
      <w:bookmarkEnd w:id="81"/>
      <w:r>
        <w:rPr>
          <w:rFonts w:hint="eastAsia"/>
        </w:rPr>
        <w:t>分局</w:t>
      </w:r>
      <w:r>
        <w:rPr>
          <w:rFonts w:hint="eastAsia"/>
          <w:lang w:eastAsia="zh-CN"/>
        </w:rPr>
        <w:t>、宿州市市场监督管理局、</w:t>
      </w:r>
      <w:r>
        <w:rPr>
          <w:rFonts w:hint="eastAsia"/>
        </w:rPr>
        <w:t>宿州逸流管理技术有限公司。</w:t>
      </w:r>
    </w:p>
    <w:p>
      <w:pPr>
        <w:pStyle w:val="57"/>
        <w:ind w:firstLine="420"/>
      </w:pPr>
      <w:r>
        <w:rPr>
          <w:rFonts w:hint="eastAsia"/>
        </w:rPr>
        <w:t>本文件主要起草人：</w:t>
      </w:r>
      <w:r>
        <w:rPr>
          <w:rFonts w:hint="eastAsia"/>
          <w:lang w:eastAsia="zh-CN"/>
        </w:rPr>
        <w:t>高杨</w:t>
      </w:r>
      <w:r>
        <w:rPr>
          <w:rFonts w:hint="eastAsia"/>
        </w:rPr>
        <w:t>、</w:t>
      </w:r>
      <w:r>
        <w:rPr>
          <w:rFonts w:hint="eastAsia"/>
          <w:lang w:eastAsia="zh-CN"/>
        </w:rPr>
        <w:t>孙月君</w:t>
      </w:r>
      <w:r>
        <w:rPr>
          <w:rFonts w:hint="eastAsia"/>
        </w:rPr>
        <w:t>、</w:t>
      </w:r>
      <w:r>
        <w:rPr>
          <w:rFonts w:hint="eastAsia"/>
          <w:lang w:eastAsia="zh-CN"/>
        </w:rPr>
        <w:t>王昆明、李永前、孙奇、刘威、周志举、从淼、胡云霞</w:t>
      </w:r>
      <w:r>
        <w:rPr>
          <w:rFonts w:hint="eastAsia"/>
        </w:rPr>
        <w:t>。</w:t>
      </w:r>
    </w:p>
    <w:p>
      <w:pPr>
        <w:pStyle w:val="57"/>
        <w:ind w:firstLine="420"/>
      </w:pPr>
    </w:p>
    <w:p>
      <w:pPr>
        <w:pStyle w:val="57"/>
        <w:ind w:firstLine="420"/>
        <w:sectPr>
          <w:pgSz w:w="11906" w:h="16838"/>
          <w:pgMar w:top="1928" w:right="1134" w:bottom="1134" w:left="1134" w:header="1418" w:footer="1134" w:gutter="284"/>
          <w:pgNumType w:fmt="upperRoman"/>
          <w:cols w:space="425" w:num="1"/>
          <w:formProt w:val="0"/>
          <w:docGrid w:type="lines" w:linePitch="312" w:charSpace="0"/>
        </w:sectPr>
      </w:pPr>
    </w:p>
    <w:bookmarkEnd w:id="23"/>
    <w:p>
      <w:pPr>
        <w:spacing w:line="20" w:lineRule="exact"/>
        <w:jc w:val="center"/>
        <w:rPr>
          <w:rFonts w:ascii="黑体" w:hAnsi="黑体" w:eastAsia="黑体"/>
          <w:sz w:val="32"/>
          <w:szCs w:val="32"/>
        </w:rPr>
      </w:pPr>
      <w:bookmarkStart w:id="24" w:name="BookMark4"/>
    </w:p>
    <w:p>
      <w:pPr>
        <w:spacing w:line="20" w:lineRule="exact"/>
        <w:jc w:val="center"/>
        <w:rPr>
          <w:rFonts w:ascii="黑体" w:hAnsi="黑体" w:eastAsia="黑体"/>
          <w:sz w:val="32"/>
          <w:szCs w:val="32"/>
        </w:rPr>
      </w:pPr>
    </w:p>
    <w:sdt>
      <w:sdtPr>
        <w:tag w:val="NEW_STAND_NAME"/>
        <w:id w:val="595910757"/>
        <w:lock w:val="sdtLocked"/>
        <w:placeholder>
          <w:docPart w:val="C4C2F680C0B8410F82861F92F8EC014C"/>
        </w:placeholder>
      </w:sdtPr>
      <w:sdtContent>
        <w:p>
          <w:pPr>
            <w:pStyle w:val="178"/>
            <w:spacing w:before="312" w:beforeLines="100" w:after="686" w:afterLines="220"/>
          </w:pPr>
          <w:bookmarkStart w:id="25" w:name="NEW_STAND_NAME"/>
          <w:r>
            <w:rPr>
              <w:rFonts w:hint="eastAsia"/>
            </w:rPr>
            <w:t>产业园区</w:t>
          </w:r>
          <w:r>
            <w:t>"464"服务高质量发展行动工作站建设及服务规范</w:t>
          </w:r>
        </w:p>
      </w:sdtContent>
    </w:sdt>
    <w:bookmarkEnd w:id="25"/>
    <w:p>
      <w:pPr>
        <w:pStyle w:val="105"/>
        <w:spacing w:before="312" w:after="312"/>
      </w:pPr>
      <w:bookmarkStart w:id="26" w:name="_Toc24884218"/>
      <w:bookmarkStart w:id="27" w:name="_Toc26986530"/>
      <w:bookmarkStart w:id="28" w:name="_Toc111809902"/>
      <w:bookmarkStart w:id="29" w:name="_Toc17233333"/>
      <w:bookmarkStart w:id="30" w:name="_Toc26718930"/>
      <w:bookmarkStart w:id="31" w:name="_Toc24884211"/>
      <w:bookmarkStart w:id="32" w:name="_Toc26986771"/>
      <w:bookmarkStart w:id="33" w:name="_Toc17233325"/>
      <w:bookmarkStart w:id="34" w:name="_Toc97191423"/>
      <w:bookmarkStart w:id="35" w:name="_Toc26648465"/>
      <w:r>
        <w:rPr>
          <w:rFonts w:hint="eastAsia"/>
        </w:rPr>
        <w:t>范围</w:t>
      </w:r>
      <w:bookmarkEnd w:id="26"/>
      <w:bookmarkEnd w:id="27"/>
      <w:bookmarkEnd w:id="28"/>
      <w:bookmarkEnd w:id="29"/>
      <w:bookmarkEnd w:id="30"/>
      <w:bookmarkEnd w:id="31"/>
      <w:bookmarkEnd w:id="32"/>
      <w:bookmarkEnd w:id="33"/>
      <w:bookmarkEnd w:id="34"/>
      <w:bookmarkEnd w:id="35"/>
    </w:p>
    <w:p>
      <w:pPr>
        <w:pStyle w:val="57"/>
        <w:ind w:firstLine="420"/>
      </w:pPr>
      <w:bookmarkStart w:id="36" w:name="_Toc24884219"/>
      <w:bookmarkStart w:id="37" w:name="_Toc17233326"/>
      <w:bookmarkStart w:id="38" w:name="_Toc17233334"/>
      <w:bookmarkStart w:id="39" w:name="_Toc26648466"/>
      <w:bookmarkStart w:id="40" w:name="_Toc24884212"/>
      <w:r>
        <w:rPr>
          <w:rFonts w:hint="eastAsia"/>
        </w:rPr>
        <w:t>本文件规定了产业园区服务高质量发展行动工作站建设及服务的术语和定义、建设要求、服务要求、服务质量管理和档案管理。</w:t>
      </w:r>
    </w:p>
    <w:p>
      <w:pPr>
        <w:pStyle w:val="57"/>
        <w:ind w:firstLine="420"/>
      </w:pPr>
      <w:r>
        <w:rPr>
          <w:rFonts w:hint="eastAsia"/>
        </w:rPr>
        <w:t>本文件适用于产业园区"464"服务高质量发展行动工作站建设及服务。</w:t>
      </w:r>
    </w:p>
    <w:p>
      <w:pPr>
        <w:pStyle w:val="105"/>
        <w:spacing w:before="312" w:after="312"/>
      </w:pPr>
      <w:bookmarkStart w:id="41" w:name="_Toc26986772"/>
      <w:bookmarkStart w:id="42" w:name="_Toc111809903"/>
      <w:bookmarkStart w:id="43" w:name="_Toc26986531"/>
      <w:bookmarkStart w:id="44" w:name="_Toc26718931"/>
      <w:bookmarkStart w:id="45" w:name="_Toc97191424"/>
      <w:r>
        <w:rPr>
          <w:rFonts w:hint="eastAsia"/>
        </w:rPr>
        <w:t>规范性引用文件</w:t>
      </w:r>
      <w:bookmarkEnd w:id="36"/>
      <w:bookmarkEnd w:id="37"/>
      <w:bookmarkEnd w:id="38"/>
      <w:bookmarkEnd w:id="39"/>
      <w:bookmarkEnd w:id="40"/>
      <w:bookmarkEnd w:id="41"/>
      <w:bookmarkEnd w:id="42"/>
      <w:bookmarkEnd w:id="43"/>
      <w:bookmarkEnd w:id="44"/>
      <w:bookmarkEnd w:id="45"/>
    </w:p>
    <w:sdt>
      <w:sdtPr>
        <w:rPr>
          <w:rFonts w:hint="eastAsia"/>
        </w:rPr>
        <w:id w:val="715848253"/>
        <w:placeholder>
          <w:docPart w:val="D89CF5F7321B4C56BDC9D89C01C6879F"/>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7"/>
        <w:ind w:firstLine="420"/>
      </w:pPr>
      <w:bookmarkStart w:id="46" w:name="_Toc97191425"/>
      <w:r>
        <w:rPr>
          <w:rFonts w:hint="eastAsia"/>
        </w:rPr>
        <w:t>GB/T 10001.1</w:t>
      </w:r>
      <w:r>
        <w:t xml:space="preserve"> </w:t>
      </w:r>
      <w:r>
        <w:rPr>
          <w:rFonts w:hint="eastAsia"/>
        </w:rPr>
        <w:t>公共信息图形符号 第1部分:通用符号</w:t>
      </w:r>
    </w:p>
    <w:p>
      <w:pPr>
        <w:pStyle w:val="57"/>
        <w:ind w:firstLine="420"/>
      </w:pPr>
      <w:r>
        <w:rPr>
          <w:rFonts w:hint="eastAsia"/>
        </w:rPr>
        <w:t>GB/T 10001.9</w:t>
      </w:r>
      <w:r>
        <w:t xml:space="preserve"> </w:t>
      </w:r>
      <w:r>
        <w:rPr>
          <w:rFonts w:hint="eastAsia"/>
        </w:rPr>
        <w:t>标志用公共信息图形符号第 9 部分:无障碍设施符号</w:t>
      </w:r>
    </w:p>
    <w:p>
      <w:pPr>
        <w:pStyle w:val="57"/>
        <w:ind w:firstLine="420"/>
      </w:pPr>
      <w:r>
        <w:t xml:space="preserve">GB/T 18883 </w:t>
      </w:r>
      <w:r>
        <w:rPr>
          <w:rFonts w:hint="eastAsia"/>
        </w:rPr>
        <w:t>室内空气质量标准</w:t>
      </w:r>
    </w:p>
    <w:p>
      <w:pPr>
        <w:pStyle w:val="57"/>
        <w:ind w:firstLine="420"/>
      </w:pPr>
      <w:r>
        <w:rPr>
          <w:rFonts w:hint="eastAsia"/>
        </w:rPr>
        <w:t>GB/T 19012</w:t>
      </w:r>
      <w:r>
        <w:t xml:space="preserve"> </w:t>
      </w:r>
      <w:r>
        <w:rPr>
          <w:rFonts w:hint="eastAsia" w:hAnsi="宋体"/>
        </w:rPr>
        <w:t>质量</w:t>
      </w:r>
      <w:r>
        <w:rPr>
          <w:rFonts w:hAnsi="宋体"/>
        </w:rPr>
        <w:t>管理</w:t>
      </w:r>
      <w:r>
        <w:rPr>
          <w:rFonts w:hint="eastAsia" w:hAnsi="宋体"/>
        </w:rPr>
        <w:t xml:space="preserve"> 顾客满意 </w:t>
      </w:r>
      <w:r>
        <w:rPr>
          <w:rFonts w:hAnsi="宋体"/>
        </w:rPr>
        <w:t>组织投诉处理指南</w:t>
      </w:r>
    </w:p>
    <w:p>
      <w:pPr>
        <w:pStyle w:val="57"/>
        <w:ind w:firstLine="420"/>
      </w:pPr>
      <w:r>
        <w:rPr>
          <w:rFonts w:hint="eastAsia"/>
        </w:rPr>
        <w:t>GB/T 19013</w:t>
      </w:r>
      <w:r>
        <w:t xml:space="preserve"> </w:t>
      </w:r>
      <w:r>
        <w:rPr>
          <w:rFonts w:hint="eastAsia"/>
        </w:rPr>
        <w:t>质量管理 顾客满意 组织外部争议解决指南</w:t>
      </w:r>
    </w:p>
    <w:p>
      <w:pPr>
        <w:pStyle w:val="105"/>
        <w:spacing w:before="312" w:after="312"/>
      </w:pPr>
      <w:bookmarkStart w:id="47" w:name="_Toc111809904"/>
      <w:r>
        <w:rPr>
          <w:rFonts w:hint="eastAsia"/>
          <w:szCs w:val="21"/>
        </w:rPr>
        <w:t>术语和定义</w:t>
      </w:r>
      <w:bookmarkEnd w:id="46"/>
      <w:bookmarkEnd w:id="47"/>
    </w:p>
    <w:sdt>
      <w:sdtPr>
        <w:id w:val="-1909835108"/>
        <w:placeholder>
          <w:docPart w:val="B2B6842F76BE4FCDABE084A87D8AFFDB"/>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7"/>
            <w:ind w:firstLine="420"/>
          </w:pPr>
          <w:bookmarkStart w:id="48" w:name="_Toc26986532"/>
          <w:bookmarkEnd w:id="48"/>
          <w:r>
            <w:t>下列术语和定义适用于本文件。</w:t>
          </w:r>
        </w:p>
      </w:sdtContent>
    </w:sdt>
    <w:p>
      <w:pPr>
        <w:pStyle w:val="224"/>
      </w:pPr>
      <w:r>
        <w:br w:type="textWrapping"/>
      </w:r>
      <w:r>
        <w:rPr>
          <w:rFonts w:hint="eastAsia" w:ascii="黑体" w:hAnsi="黑体" w:eastAsia="黑体"/>
        </w:rPr>
        <w:t xml:space="preserve"> </w:t>
      </w:r>
      <w:r>
        <w:rPr>
          <w:rFonts w:ascii="黑体" w:hAnsi="黑体" w:eastAsia="黑体"/>
        </w:rPr>
        <w:t xml:space="preserve">  </w:t>
      </w:r>
      <w:r>
        <w:rPr>
          <w:rFonts w:hint="eastAsia" w:ascii="黑体" w:hAnsi="黑体" w:eastAsia="黑体"/>
        </w:rPr>
        <w:t>“464”服务高质量发展行动工作站</w:t>
      </w:r>
      <w:r>
        <w:rPr>
          <w:rFonts w:hint="eastAsia"/>
        </w:rPr>
        <w:t xml:space="preserve">  “</w:t>
      </w:r>
      <w:r>
        <w:t>464” service quality development workstation</w:t>
      </w:r>
    </w:p>
    <w:p>
      <w:pPr>
        <w:spacing w:line="240" w:lineRule="auto"/>
        <w:ind w:firstLine="420" w:firstLineChars="200"/>
        <w:jc w:val="left"/>
        <w:rPr>
          <w:rFonts w:cs="Arial" w:asciiTheme="minorEastAsia" w:hAnsiTheme="minorEastAsia"/>
          <w:shd w:val="clear" w:color="auto" w:fill="FFFFFF"/>
        </w:rPr>
      </w:pPr>
      <w:r>
        <w:rPr>
          <w:rFonts w:hint="eastAsia" w:cs="Arial" w:asciiTheme="minorEastAsia" w:hAnsiTheme="minorEastAsia"/>
          <w:shd w:val="clear" w:color="auto" w:fill="FFFFFF"/>
        </w:rPr>
        <w:t>由产业园区市场监管行政主管部门本级或授权的企事业单位设立，经综合评估并向社会公示后，按照“面向双招双引、面向产业、面向园区、面向企业”的理念，按照“全程代办”、“一网通办”、“宿事速办”、“定期督办”的要求为周边企业提供质量教育培训、质量管理、市场准入、标准化、计量、产品检验检测、特种设备、认证认可、知识产权等“464”服务高质量发展行动的基层组织。以下简称“工作站”。</w:t>
      </w:r>
    </w:p>
    <w:p>
      <w:pPr>
        <w:pStyle w:val="105"/>
        <w:spacing w:before="312" w:after="312"/>
        <w:rPr>
          <w:szCs w:val="21"/>
        </w:rPr>
      </w:pPr>
      <w:bookmarkStart w:id="49" w:name="_Toc111809905"/>
      <w:r>
        <w:rPr>
          <w:rFonts w:hint="eastAsia"/>
          <w:szCs w:val="21"/>
        </w:rPr>
        <w:t>建设要求</w:t>
      </w:r>
      <w:bookmarkEnd w:id="49"/>
    </w:p>
    <w:p>
      <w:pPr>
        <w:pStyle w:val="106"/>
        <w:spacing w:before="156" w:after="156"/>
      </w:pPr>
      <w:bookmarkStart w:id="50" w:name="_Toc111809906"/>
      <w:r>
        <w:rPr>
          <w:rFonts w:hint="eastAsia"/>
        </w:rPr>
        <w:t>选址要求</w:t>
      </w:r>
      <w:bookmarkEnd w:id="50"/>
    </w:p>
    <w:p>
      <w:pPr>
        <w:pStyle w:val="166"/>
      </w:pPr>
      <w:r>
        <w:rPr>
          <w:rFonts w:hint="eastAsia"/>
        </w:rPr>
        <w:t>工作站选址园区统筹布局，原则上应选择企业较集中、质量服务需求较多、企业积极性较高、配套条件较好的企业或者区域。可选择建于链长企业、产业孵化器以及宿马现代产业园区行政服务中心等。</w:t>
      </w:r>
    </w:p>
    <w:p>
      <w:pPr>
        <w:pStyle w:val="166"/>
      </w:pPr>
      <w:r>
        <w:rPr>
          <w:rFonts w:hint="eastAsia"/>
        </w:rPr>
        <w:t>工作站选址应满足环境保护和消防安全的要求。</w:t>
      </w:r>
    </w:p>
    <w:p>
      <w:pPr>
        <w:pStyle w:val="166"/>
      </w:pPr>
      <w:r>
        <w:rPr>
          <w:rFonts w:hint="eastAsia"/>
        </w:rPr>
        <w:t>工作站的建筑面积和房屋结构应符合工作需求。</w:t>
      </w:r>
    </w:p>
    <w:p>
      <w:pPr>
        <w:pStyle w:val="106"/>
        <w:spacing w:before="156" w:after="156"/>
      </w:pPr>
      <w:bookmarkStart w:id="51" w:name="_Toc111809907"/>
      <w:r>
        <w:rPr>
          <w:rFonts w:hint="eastAsia"/>
        </w:rPr>
        <w:t>工作场所</w:t>
      </w:r>
      <w:bookmarkEnd w:id="51"/>
    </w:p>
    <w:p>
      <w:pPr>
        <w:pStyle w:val="166"/>
      </w:pPr>
      <w:r>
        <w:rPr>
          <w:rFonts w:hint="eastAsia"/>
        </w:rPr>
        <w:t>应设立固定的工作场所,有明确的服务受理窗口。</w:t>
      </w:r>
    </w:p>
    <w:p>
      <w:pPr>
        <w:pStyle w:val="166"/>
      </w:pPr>
      <w:r>
        <w:rPr>
          <w:rFonts w:hint="eastAsia"/>
        </w:rPr>
        <w:t>应在工作场所醒目位置公示服务内容、服务流程、服务电话、监督投诉电话等。</w:t>
      </w:r>
    </w:p>
    <w:p>
      <w:pPr>
        <w:pStyle w:val="166"/>
      </w:pPr>
      <w:r>
        <w:rPr>
          <w:rFonts w:hint="eastAsia"/>
        </w:rPr>
        <w:t>应在主体建筑外或工作场所醒目位置设立统一明显的标识。</w:t>
      </w:r>
    </w:p>
    <w:p>
      <w:pPr>
        <w:pStyle w:val="166"/>
      </w:pPr>
      <w:r>
        <w:rPr>
          <w:rFonts w:hint="eastAsia"/>
        </w:rPr>
        <w:t>工作场所内空气质量应符合</w:t>
      </w:r>
      <w:bookmarkStart w:id="52" w:name="_Hlk100816667"/>
      <w:r>
        <w:rPr>
          <w:rFonts w:hint="eastAsia"/>
        </w:rPr>
        <w:t>GB/T 18883</w:t>
      </w:r>
      <w:bookmarkEnd w:id="52"/>
      <w:r>
        <w:rPr>
          <w:rFonts w:hint="eastAsia"/>
        </w:rPr>
        <w:t>的规定。</w:t>
      </w:r>
    </w:p>
    <w:p>
      <w:pPr>
        <w:pStyle w:val="166"/>
      </w:pPr>
      <w:r>
        <w:rPr>
          <w:rFonts w:hint="eastAsia"/>
        </w:rPr>
        <w:t>各类标识、标牌中的公共信息图形符号应符合GB/T 10001.1、GB/T 10001.9的规定</w:t>
      </w:r>
    </w:p>
    <w:p>
      <w:pPr>
        <w:pStyle w:val="166"/>
      </w:pPr>
      <w:r>
        <w:rPr>
          <w:rFonts w:hint="eastAsia"/>
        </w:rPr>
        <w:t>消防通道、安全出口应符合紧急疏散要求并保持畅通。</w:t>
      </w:r>
    </w:p>
    <w:p>
      <w:pPr>
        <w:pStyle w:val="106"/>
        <w:spacing w:before="156" w:after="156"/>
      </w:pPr>
      <w:bookmarkStart w:id="53" w:name="_Toc111809908"/>
      <w:r>
        <w:rPr>
          <w:rFonts w:hint="eastAsia"/>
        </w:rPr>
        <w:t>设施设备</w:t>
      </w:r>
      <w:bookmarkEnd w:id="53"/>
    </w:p>
    <w:p>
      <w:pPr>
        <w:pStyle w:val="166"/>
      </w:pPr>
      <w:r>
        <w:rPr>
          <w:rFonts w:hint="eastAsia"/>
        </w:rPr>
        <w:t>配备能够满足基本工作需求的办公设备，如连接网络的电脑、打印机、复印机等办公设备。</w:t>
      </w:r>
    </w:p>
    <w:p>
      <w:pPr>
        <w:pStyle w:val="166"/>
      </w:pPr>
      <w:r>
        <w:rPr>
          <w:rFonts w:hint="eastAsia"/>
        </w:rPr>
        <w:t>宜设置无障碍通道及相关设施，配备座椅、饮水机及垃圾箱等便民服务设施。</w:t>
      </w:r>
    </w:p>
    <w:p>
      <w:pPr>
        <w:pStyle w:val="166"/>
      </w:pPr>
      <w:r>
        <w:rPr>
          <w:rFonts w:hint="eastAsia"/>
        </w:rPr>
        <w:t>宜配备监控设备、电子屏幕和电子触摸屏等设施。</w:t>
      </w:r>
    </w:p>
    <w:p>
      <w:pPr>
        <w:pStyle w:val="166"/>
      </w:pPr>
      <w:r>
        <w:rPr>
          <w:rFonts w:hint="eastAsia"/>
        </w:rPr>
        <w:t>应配备符合消防安全规定的消防器材、应急照明灯和标志，并加强对消防安全的日常监督管理。</w:t>
      </w:r>
    </w:p>
    <w:p>
      <w:pPr>
        <w:pStyle w:val="166"/>
      </w:pPr>
      <w:r>
        <w:rPr>
          <w:rFonts w:hint="eastAsia"/>
        </w:rPr>
        <w:t>各类设施设备应定期检查和维护，保障设施设备的正常使用。</w:t>
      </w:r>
    </w:p>
    <w:p>
      <w:pPr>
        <w:pStyle w:val="106"/>
        <w:spacing w:before="156" w:after="156"/>
      </w:pPr>
      <w:bookmarkStart w:id="54" w:name="_Toc111809909"/>
      <w:r>
        <w:rPr>
          <w:rFonts w:hint="eastAsia"/>
        </w:rPr>
        <w:t>人员配备</w:t>
      </w:r>
      <w:bookmarkEnd w:id="54"/>
    </w:p>
    <w:p>
      <w:pPr>
        <w:pStyle w:val="166"/>
      </w:pPr>
      <w:r>
        <w:rPr>
          <w:rFonts w:hint="eastAsia"/>
        </w:rPr>
        <w:t>工作站应配备具有一定的质量工作相关专业背景、工作经验，熟悉相关法律法规及工作流程的工作人员，工作人员上岗前应经过相关专业知识培训。</w:t>
      </w:r>
    </w:p>
    <w:p>
      <w:pPr>
        <w:pStyle w:val="166"/>
      </w:pPr>
      <w:r>
        <w:rPr>
          <w:rFonts w:hint="eastAsia"/>
        </w:rPr>
        <w:t>工作站应设立站长，对工作站的质量工作全面负责，负责工作站日常质量服务工作。</w:t>
      </w:r>
    </w:p>
    <w:p>
      <w:pPr>
        <w:pStyle w:val="106"/>
        <w:spacing w:before="156" w:after="156"/>
      </w:pPr>
      <w:bookmarkStart w:id="55" w:name="_Toc111809910"/>
      <w:r>
        <w:rPr>
          <w:rFonts w:hint="eastAsia"/>
        </w:rPr>
        <w:t>制度建设</w:t>
      </w:r>
      <w:bookmarkEnd w:id="55"/>
    </w:p>
    <w:p>
      <w:pPr>
        <w:pStyle w:val="232"/>
        <w:rPr>
          <w:rFonts w:hAnsi="宋体"/>
        </w:rPr>
      </w:pPr>
      <w:r>
        <w:rPr>
          <w:rFonts w:hint="eastAsia" w:hAnsi="宋体"/>
        </w:rPr>
        <w:t>工作站应开展制度建设，各项制度均应具有针对性和可操作性，基本制度建设内容包括但不限于：</w:t>
      </w:r>
    </w:p>
    <w:p>
      <w:pPr>
        <w:spacing w:line="240" w:lineRule="auto"/>
        <w:ind w:firstLine="420" w:firstLineChars="200"/>
        <w:rPr>
          <w:rFonts w:ascii="宋体" w:hAnsi="宋体"/>
        </w:rPr>
      </w:pPr>
      <w:r>
        <w:rPr>
          <w:rFonts w:hint="eastAsia" w:ascii="宋体" w:hAnsi="宋体"/>
        </w:rPr>
        <w:t>a）岗位职责；(见附录</w:t>
      </w:r>
      <w:r>
        <w:rPr>
          <w:rFonts w:ascii="宋体" w:hAnsi="宋体"/>
        </w:rPr>
        <w:t>A</w:t>
      </w:r>
      <w:r>
        <w:rPr>
          <w:rFonts w:hint="eastAsia" w:ascii="宋体" w:hAnsi="宋体"/>
        </w:rPr>
        <w:t>)</w:t>
      </w:r>
    </w:p>
    <w:p>
      <w:pPr>
        <w:spacing w:line="240" w:lineRule="auto"/>
        <w:ind w:firstLine="420" w:firstLineChars="200"/>
        <w:rPr>
          <w:rFonts w:ascii="宋体" w:hAnsi="宋体"/>
        </w:rPr>
      </w:pPr>
      <w:r>
        <w:rPr>
          <w:rFonts w:hint="eastAsia" w:ascii="宋体" w:hAnsi="宋体"/>
        </w:rPr>
        <w:t>b）服务过程管理；(流程图见附录</w:t>
      </w:r>
      <w:r>
        <w:rPr>
          <w:rFonts w:ascii="宋体" w:hAnsi="宋体"/>
        </w:rPr>
        <w:t>B</w:t>
      </w:r>
      <w:r>
        <w:rPr>
          <w:rFonts w:hint="eastAsia" w:ascii="宋体" w:hAnsi="宋体"/>
        </w:rPr>
        <w:t>)</w:t>
      </w:r>
    </w:p>
    <w:p>
      <w:pPr>
        <w:spacing w:line="240" w:lineRule="auto"/>
        <w:ind w:firstLine="420" w:firstLineChars="200"/>
        <w:rPr>
          <w:rFonts w:ascii="宋体" w:hAnsi="宋体"/>
        </w:rPr>
      </w:pPr>
      <w:r>
        <w:rPr>
          <w:rFonts w:hint="eastAsia" w:ascii="宋体" w:hAnsi="宋体"/>
        </w:rPr>
        <w:t>c）记录及档案管理；</w:t>
      </w:r>
    </w:p>
    <w:p>
      <w:pPr>
        <w:spacing w:line="240" w:lineRule="auto"/>
        <w:ind w:firstLine="420" w:firstLineChars="200"/>
        <w:rPr>
          <w:rFonts w:ascii="宋体" w:hAnsi="宋体"/>
        </w:rPr>
      </w:pPr>
      <w:r>
        <w:rPr>
          <w:rFonts w:hint="eastAsia" w:ascii="宋体" w:hAnsi="宋体"/>
        </w:rPr>
        <w:t>d）设备及安全管理；</w:t>
      </w:r>
    </w:p>
    <w:p>
      <w:pPr>
        <w:spacing w:line="240" w:lineRule="auto"/>
        <w:ind w:firstLine="420" w:firstLineChars="200"/>
        <w:rPr>
          <w:rFonts w:ascii="宋体" w:hAnsi="宋体"/>
        </w:rPr>
      </w:pPr>
      <w:r>
        <w:rPr>
          <w:rFonts w:hint="eastAsia" w:ascii="宋体" w:hAnsi="宋体"/>
        </w:rPr>
        <w:t>e）服务投诉及反馈处理；</w:t>
      </w:r>
    </w:p>
    <w:p>
      <w:pPr>
        <w:spacing w:line="240" w:lineRule="auto"/>
        <w:ind w:firstLine="420" w:firstLineChars="200"/>
        <w:rPr>
          <w:rFonts w:ascii="宋体" w:hAnsi="宋体"/>
        </w:rPr>
      </w:pPr>
      <w:r>
        <w:rPr>
          <w:rFonts w:hint="eastAsia" w:ascii="宋体" w:hAnsi="宋体"/>
        </w:rPr>
        <w:t>f）突发性事件应急处理预案；</w:t>
      </w:r>
    </w:p>
    <w:p>
      <w:pPr>
        <w:pStyle w:val="232"/>
        <w:rPr>
          <w:rFonts w:hAnsi="宋体"/>
        </w:rPr>
      </w:pPr>
      <w:r>
        <w:rPr>
          <w:rFonts w:hint="eastAsia" w:hAnsi="宋体"/>
        </w:rPr>
        <w:t>g）服务质量监督考核管理；</w:t>
      </w:r>
    </w:p>
    <w:p>
      <w:pPr>
        <w:pStyle w:val="232"/>
        <w:rPr>
          <w:rFonts w:hAnsi="宋体"/>
        </w:rPr>
      </w:pPr>
      <w:r>
        <w:rPr>
          <w:rFonts w:hint="eastAsia" w:hAnsi="宋体"/>
        </w:rPr>
        <w:t>h) 工作人员服务准则（见附录</w:t>
      </w:r>
      <w:r>
        <w:rPr>
          <w:rFonts w:hAnsi="宋体"/>
        </w:rPr>
        <w:t>C</w:t>
      </w:r>
      <w:r>
        <w:rPr>
          <w:rFonts w:hint="eastAsia" w:hAnsi="宋体"/>
        </w:rPr>
        <w:t>）。</w:t>
      </w:r>
    </w:p>
    <w:p>
      <w:pPr>
        <w:pStyle w:val="105"/>
        <w:spacing w:before="312" w:after="312"/>
        <w:rPr>
          <w:szCs w:val="21"/>
        </w:rPr>
      </w:pPr>
      <w:bookmarkStart w:id="56" w:name="_Toc111809911"/>
      <w:r>
        <w:rPr>
          <w:rFonts w:hint="eastAsia"/>
          <w:szCs w:val="21"/>
        </w:rPr>
        <w:t>服务要求</w:t>
      </w:r>
      <w:bookmarkEnd w:id="56"/>
    </w:p>
    <w:p>
      <w:pPr>
        <w:pStyle w:val="106"/>
        <w:spacing w:before="156" w:after="156"/>
      </w:pPr>
      <w:bookmarkStart w:id="57" w:name="_Toc111809912"/>
      <w:r>
        <w:rPr>
          <w:rFonts w:hint="eastAsia"/>
        </w:rPr>
        <w:t>服务项目</w:t>
      </w:r>
      <w:bookmarkEnd w:id="57"/>
    </w:p>
    <w:p>
      <w:pPr>
        <w:pStyle w:val="66"/>
        <w:spacing w:before="156" w:after="156"/>
      </w:pPr>
      <w:bookmarkStart w:id="58" w:name="_Toc111809913"/>
      <w:r>
        <w:rPr>
          <w:rFonts w:hint="eastAsia"/>
        </w:rPr>
        <w:t>教育和培训服务</w:t>
      </w:r>
      <w:bookmarkEnd w:id="58"/>
    </w:p>
    <w:p>
      <w:pPr>
        <w:pStyle w:val="165"/>
      </w:pPr>
      <w:r>
        <w:rPr>
          <w:rFonts w:hint="eastAsia"/>
        </w:rPr>
        <w:t>开展市场监管方面法律法规的宣传、培训，组织企业开展政策解读交流。</w:t>
      </w:r>
    </w:p>
    <w:p>
      <w:pPr>
        <w:pStyle w:val="165"/>
      </w:pPr>
      <w:r>
        <w:rPr>
          <w:rFonts w:hint="eastAsia"/>
        </w:rPr>
        <w:t>开展世界标准日（10.14）、世界计量日（5.20）、世界认可日（6.9）、全国质量月（9月）、中国品牌日（5.10）、知识产权宣传周（4.20-26）、绿色产品认证与标识宣传周（9.27）等质量意识、质量文化宣传培训教育活动。</w:t>
      </w:r>
    </w:p>
    <w:p>
      <w:pPr>
        <w:pStyle w:val="165"/>
      </w:pPr>
      <w:r>
        <w:rPr>
          <w:rFonts w:hint="eastAsia"/>
        </w:rPr>
        <w:t>开展产品标准研制、管理规范等方面的培训。</w:t>
      </w:r>
    </w:p>
    <w:p>
      <w:pPr>
        <w:pStyle w:val="165"/>
      </w:pPr>
      <w:r>
        <w:rPr>
          <w:rFonts w:hint="eastAsia"/>
        </w:rPr>
        <w:t>开展计量管理，计量检定、校准等方面的培训。</w:t>
      </w:r>
    </w:p>
    <w:p>
      <w:pPr>
        <w:pStyle w:val="165"/>
      </w:pPr>
      <w:r>
        <w:rPr>
          <w:rFonts w:hint="eastAsia"/>
        </w:rPr>
        <w:t>开展产品检验检测的培训工作。</w:t>
      </w:r>
    </w:p>
    <w:p>
      <w:pPr>
        <w:pStyle w:val="165"/>
      </w:pPr>
      <w:r>
        <w:rPr>
          <w:rFonts w:hint="eastAsia"/>
        </w:rPr>
        <w:t>开展和特种设备从业人员培训，指导考生参加特种设备作业人员考试。</w:t>
      </w:r>
    </w:p>
    <w:p>
      <w:pPr>
        <w:pStyle w:val="165"/>
      </w:pPr>
      <w:r>
        <w:rPr>
          <w:rFonts w:hint="eastAsia"/>
        </w:rPr>
        <w:t>开展知识产权相关知识培训。</w:t>
      </w:r>
    </w:p>
    <w:p>
      <w:pPr>
        <w:pStyle w:val="165"/>
      </w:pPr>
      <w:r>
        <w:rPr>
          <w:rFonts w:hint="eastAsia"/>
        </w:rPr>
        <w:t>开展认证认可相关知识培训。</w:t>
      </w:r>
    </w:p>
    <w:p>
      <w:pPr>
        <w:pStyle w:val="165"/>
      </w:pPr>
      <w:r>
        <w:rPr>
          <w:rFonts w:hint="eastAsia"/>
        </w:rPr>
        <w:t>开展标准总监、首席质量官的培训。</w:t>
      </w:r>
    </w:p>
    <w:p>
      <w:pPr>
        <w:pStyle w:val="66"/>
        <w:spacing w:before="156" w:after="156"/>
      </w:pPr>
      <w:bookmarkStart w:id="59" w:name="_Toc111809914"/>
      <w:r>
        <w:rPr>
          <w:rFonts w:hint="eastAsia"/>
        </w:rPr>
        <w:t>体检诊断服务</w:t>
      </w:r>
      <w:bookmarkEnd w:id="59"/>
    </w:p>
    <w:p>
      <w:pPr>
        <w:pStyle w:val="165"/>
      </w:pPr>
      <w:r>
        <w:rPr>
          <w:rFonts w:hint="eastAsia"/>
        </w:rPr>
        <w:t>开展企业质量提升活动、质量提升“行政+专家”体检诊断服务、质量攻关、质量对比提高活动。</w:t>
      </w:r>
    </w:p>
    <w:p>
      <w:pPr>
        <w:pStyle w:val="165"/>
      </w:pPr>
      <w:r>
        <w:t>开展专业技术攻关服务，破解“卡脖子”技术难题。开展高端装备领域</w:t>
      </w:r>
      <w:r>
        <w:rPr>
          <w:rFonts w:hint="eastAsia"/>
        </w:rPr>
        <w:t>的</w:t>
      </w:r>
      <w:r>
        <w:t>研发设计服务</w:t>
      </w:r>
      <w:r>
        <w:rPr>
          <w:rFonts w:hint="eastAsia"/>
        </w:rPr>
        <w:t>。</w:t>
      </w:r>
    </w:p>
    <w:p>
      <w:pPr>
        <w:pStyle w:val="165"/>
      </w:pPr>
      <w:r>
        <w:t>开展关键共性技术研究，产业化应用研究服务</w:t>
      </w:r>
      <w:r>
        <w:rPr>
          <w:rFonts w:hint="eastAsia"/>
        </w:rPr>
        <w:t>。</w:t>
      </w:r>
    </w:p>
    <w:p>
      <w:pPr>
        <w:pStyle w:val="165"/>
      </w:pPr>
      <w:r>
        <w:t>组建技术团队，为企业提供产品生产过程中质量问题的原因分析及解决方案</w:t>
      </w:r>
      <w:r>
        <w:rPr>
          <w:rFonts w:hint="eastAsia"/>
        </w:rPr>
        <w:t>。</w:t>
      </w:r>
    </w:p>
    <w:p>
      <w:pPr>
        <w:pStyle w:val="66"/>
        <w:spacing w:before="156" w:after="156"/>
      </w:pPr>
      <w:bookmarkStart w:id="60" w:name="_Toc111809915"/>
      <w:r>
        <w:rPr>
          <w:rFonts w:hint="eastAsia"/>
        </w:rPr>
        <w:t>质量管理服务</w:t>
      </w:r>
      <w:bookmarkEnd w:id="60"/>
    </w:p>
    <w:p>
      <w:pPr>
        <w:pStyle w:val="165"/>
      </w:pPr>
      <w:r>
        <w:rPr>
          <w:rFonts w:hint="eastAsia"/>
        </w:rPr>
        <w:t>开展全面质量管理、卓越绩效管理、现场管理模式导入咨询、QC小组等质量活动。</w:t>
      </w:r>
    </w:p>
    <w:p>
      <w:pPr>
        <w:pStyle w:val="165"/>
      </w:pPr>
      <w:r>
        <w:rPr>
          <w:rFonts w:hint="eastAsia"/>
        </w:rPr>
        <w:t>开展质量管理咨询等相关活动。</w:t>
      </w:r>
    </w:p>
    <w:p>
      <w:pPr>
        <w:pStyle w:val="165"/>
      </w:pPr>
      <w:r>
        <w:rPr>
          <w:rFonts w:hint="eastAsia"/>
        </w:rPr>
        <w:t>开展质量标杆企业培育、企业质量信用等级评定等宣传指导活动。</w:t>
      </w:r>
    </w:p>
    <w:p>
      <w:pPr>
        <w:pStyle w:val="165"/>
      </w:pPr>
      <w:r>
        <w:rPr>
          <w:rFonts w:hint="eastAsia"/>
        </w:rPr>
        <w:t>组织质量标杆企业宣讲先进质量管理经验，组织相关企业到先进质量管理经验单位参观学习等质量意识提升活动。</w:t>
      </w:r>
    </w:p>
    <w:p>
      <w:pPr>
        <w:pStyle w:val="165"/>
      </w:pPr>
      <w:r>
        <w:rPr>
          <w:rFonts w:hint="eastAsia"/>
        </w:rPr>
        <w:t>开展品牌咨询等品牌建设活动，积极推介企业申报各类质量奖项。</w:t>
      </w:r>
    </w:p>
    <w:p>
      <w:pPr>
        <w:pStyle w:val="165"/>
      </w:pPr>
      <w:r>
        <w:rPr>
          <w:rFonts w:hint="eastAsia"/>
        </w:rPr>
        <w:t>开展产品质量召回咨询服务。</w:t>
      </w:r>
    </w:p>
    <w:p>
      <w:pPr>
        <w:pStyle w:val="66"/>
        <w:spacing w:before="156" w:after="156"/>
      </w:pPr>
      <w:bookmarkStart w:id="61" w:name="_Toc111809916"/>
      <w:r>
        <w:rPr>
          <w:rFonts w:hint="eastAsia"/>
        </w:rPr>
        <w:t>标准化服务</w:t>
      </w:r>
      <w:bookmarkEnd w:id="61"/>
    </w:p>
    <w:p>
      <w:pPr>
        <w:pStyle w:val="165"/>
      </w:pPr>
      <w:r>
        <w:rPr>
          <w:rFonts w:hint="eastAsia"/>
        </w:rPr>
        <w:t>开展国际、国家、行业、地方、团体标准的信息查询及各类执行标准有效性查询，地方标准和团体标准的立项查新，及采用国际标准查询信息服务。</w:t>
      </w:r>
    </w:p>
    <w:p>
      <w:pPr>
        <w:pStyle w:val="165"/>
      </w:pPr>
      <w:r>
        <w:rPr>
          <w:rFonts w:hint="eastAsia"/>
        </w:rPr>
        <w:t>开展企业在企业标准信息公共服务平台、全国团体标准信息平台的标准公示服务。</w:t>
      </w:r>
    </w:p>
    <w:p>
      <w:pPr>
        <w:pStyle w:val="165"/>
      </w:pPr>
      <w:r>
        <w:rPr>
          <w:rFonts w:hint="eastAsia"/>
        </w:rPr>
        <w:t>开展企业在研发、生产、管理过程中执行相应标准的指导服务。</w:t>
      </w:r>
    </w:p>
    <w:p>
      <w:pPr>
        <w:pStyle w:val="165"/>
      </w:pPr>
      <w:r>
        <w:rPr>
          <w:rFonts w:hint="eastAsia"/>
        </w:rPr>
        <w:t>开展国际、国家、行业、地方、团体标准的立项申报及标准制定方面的服务。</w:t>
      </w:r>
    </w:p>
    <w:p>
      <w:pPr>
        <w:pStyle w:val="165"/>
      </w:pPr>
      <w:r>
        <w:rPr>
          <w:rFonts w:hint="eastAsia"/>
        </w:rPr>
        <w:t>开展行业、企业标准体系建设指导服务。</w:t>
      </w:r>
    </w:p>
    <w:p>
      <w:pPr>
        <w:pStyle w:val="165"/>
      </w:pPr>
      <w:r>
        <w:rPr>
          <w:rFonts w:hint="eastAsia"/>
        </w:rPr>
        <w:t>开展标准化试点示范项目立项申报服务。</w:t>
      </w:r>
    </w:p>
    <w:p>
      <w:pPr>
        <w:pStyle w:val="165"/>
      </w:pPr>
      <w:r>
        <w:rPr>
          <w:rFonts w:hint="eastAsia"/>
        </w:rPr>
        <w:t>开展标准奖励政策申报服务。</w:t>
      </w:r>
    </w:p>
    <w:p>
      <w:pPr>
        <w:pStyle w:val="66"/>
        <w:spacing w:before="156" w:after="156"/>
      </w:pPr>
      <w:bookmarkStart w:id="62" w:name="_Toc111809917"/>
      <w:r>
        <w:rPr>
          <w:rFonts w:hint="eastAsia"/>
        </w:rPr>
        <w:t>计量服务</w:t>
      </w:r>
      <w:bookmarkEnd w:id="62"/>
    </w:p>
    <w:p>
      <w:pPr>
        <w:pStyle w:val="165"/>
      </w:pPr>
      <w:r>
        <w:rPr>
          <w:rFonts w:hint="eastAsia"/>
        </w:rPr>
        <w:t>协助企业建立健全计量管理制度，建立计量器具管理台账，分类管理强制检定与非强制检定计量器具。</w:t>
      </w:r>
    </w:p>
    <w:p>
      <w:pPr>
        <w:pStyle w:val="165"/>
      </w:pPr>
      <w:r>
        <w:rPr>
          <w:rFonts w:hint="eastAsia"/>
        </w:rPr>
        <w:t>协助企业依据计量器具溯源要求，开辟绿色快捷通道，联系计量检定、校准机构提供计量检定、校准服务。</w:t>
      </w:r>
    </w:p>
    <w:p>
      <w:pPr>
        <w:pStyle w:val="165"/>
      </w:pPr>
      <w:r>
        <w:rPr>
          <w:rFonts w:hint="eastAsia"/>
        </w:rPr>
        <w:t>为企业建立计量标准、开展量值传递，提供咨询服务和技术指导。</w:t>
      </w:r>
    </w:p>
    <w:p>
      <w:pPr>
        <w:pStyle w:val="165"/>
      </w:pPr>
      <w:r>
        <w:rPr>
          <w:rFonts w:hint="eastAsia"/>
        </w:rPr>
        <w:t>为企业建立计量测量体系提供咨询服务和技术指导。</w:t>
      </w:r>
    </w:p>
    <w:p>
      <w:pPr>
        <w:pStyle w:val="66"/>
        <w:spacing w:before="156" w:after="156"/>
      </w:pPr>
      <w:bookmarkStart w:id="63" w:name="_Toc111809918"/>
      <w:r>
        <w:rPr>
          <w:rFonts w:hint="eastAsia"/>
        </w:rPr>
        <w:t>产品检验检测服务</w:t>
      </w:r>
      <w:bookmarkEnd w:id="63"/>
    </w:p>
    <w:p>
      <w:pPr>
        <w:pStyle w:val="165"/>
      </w:pPr>
      <w:r>
        <w:rPr>
          <w:rFonts w:hint="eastAsia"/>
        </w:rPr>
        <w:t>搭建产品检测公共服务平台，共享检测设备，为企业提供产品质量检测服务。</w:t>
      </w:r>
    </w:p>
    <w:p>
      <w:pPr>
        <w:pStyle w:val="165"/>
      </w:pPr>
      <w:r>
        <w:rPr>
          <w:rFonts w:hint="eastAsia"/>
        </w:rPr>
        <w:t>协助企业在研发、生产过程中开展产品检验检测工作。</w:t>
      </w:r>
    </w:p>
    <w:p>
      <w:pPr>
        <w:pStyle w:val="165"/>
      </w:pPr>
      <w:r>
        <w:rPr>
          <w:rFonts w:hint="eastAsia"/>
        </w:rPr>
        <w:t>参与企业质量改进工作，对产品存在的质量问题以及工艺改进等提供检验服务。</w:t>
      </w:r>
    </w:p>
    <w:p>
      <w:pPr>
        <w:pStyle w:val="165"/>
      </w:pPr>
      <w:r>
        <w:rPr>
          <w:rFonts w:hint="eastAsia"/>
        </w:rPr>
        <w:t>根据需要协助企业开展查询有资质的产品质量检验检测机构、联系送检事宜、运送样品、领取检验检测报告、发放检验检测报告等服务。</w:t>
      </w:r>
    </w:p>
    <w:p>
      <w:pPr>
        <w:pStyle w:val="66"/>
        <w:spacing w:before="156" w:after="156"/>
      </w:pPr>
      <w:bookmarkStart w:id="64" w:name="_Toc111809919"/>
      <w:r>
        <w:rPr>
          <w:rFonts w:hint="eastAsia"/>
        </w:rPr>
        <w:t>特种设备服务</w:t>
      </w:r>
      <w:bookmarkEnd w:id="64"/>
    </w:p>
    <w:p>
      <w:pPr>
        <w:pStyle w:val="165"/>
      </w:pPr>
      <w:r>
        <w:rPr>
          <w:rFonts w:hint="eastAsia"/>
        </w:rPr>
        <w:t>依据特种设备安全监督检验和定期检验要求，协助企业联系特种设备检验机构提供特种设备检验检测服务。</w:t>
      </w:r>
    </w:p>
    <w:p>
      <w:pPr>
        <w:pStyle w:val="165"/>
      </w:pPr>
      <w:r>
        <w:rPr>
          <w:rFonts w:hint="eastAsia"/>
        </w:rPr>
        <w:t>开展特种设备申报注册登记、联系报检、现场检验、领取检验报告、发放检验报告等服务。</w:t>
      </w:r>
    </w:p>
    <w:p>
      <w:pPr>
        <w:pStyle w:val="165"/>
      </w:pPr>
      <w:r>
        <w:rPr>
          <w:rFonts w:hint="eastAsia"/>
        </w:rPr>
        <w:t>协助企业联系特种设备行政机关办理报考服务，联系特种设备考试机构开展特种设备作业人员考试工作。</w:t>
      </w:r>
    </w:p>
    <w:p>
      <w:pPr>
        <w:pStyle w:val="66"/>
        <w:spacing w:before="156" w:after="156"/>
      </w:pPr>
      <w:bookmarkStart w:id="65" w:name="_Toc111809920"/>
      <w:r>
        <w:rPr>
          <w:rFonts w:hint="eastAsia"/>
        </w:rPr>
        <w:t>认证认可服务</w:t>
      </w:r>
      <w:bookmarkEnd w:id="65"/>
    </w:p>
    <w:p>
      <w:pPr>
        <w:pStyle w:val="165"/>
      </w:pPr>
      <w:r>
        <w:rPr>
          <w:rFonts w:hint="eastAsia"/>
        </w:rPr>
        <w:t>开展强制性产品认证、自愿性认证活动等相关法律法规的咨询服务。</w:t>
      </w:r>
    </w:p>
    <w:p>
      <w:pPr>
        <w:pStyle w:val="165"/>
      </w:pPr>
      <w:r>
        <w:rPr>
          <w:rFonts w:hint="eastAsia"/>
        </w:rPr>
        <w:t>开展具有相应资质的认证机构及其认证范围查询服务。</w:t>
      </w:r>
    </w:p>
    <w:p>
      <w:pPr>
        <w:pStyle w:val="165"/>
      </w:pPr>
      <w:r>
        <w:rPr>
          <w:rFonts w:hint="eastAsia"/>
        </w:rPr>
        <w:t>提供获得资质认定的检验检测机构名录查询服务。</w:t>
      </w:r>
    </w:p>
    <w:p>
      <w:pPr>
        <w:pStyle w:val="66"/>
        <w:spacing w:before="156" w:after="156"/>
      </w:pPr>
      <w:bookmarkStart w:id="66" w:name="_Toc111809921"/>
      <w:r>
        <w:rPr>
          <w:rFonts w:hint="eastAsia"/>
        </w:rPr>
        <w:t>知识产权服务</w:t>
      </w:r>
      <w:bookmarkEnd w:id="66"/>
    </w:p>
    <w:p>
      <w:pPr>
        <w:pStyle w:val="165"/>
      </w:pPr>
      <w:r>
        <w:rPr>
          <w:rFonts w:hint="eastAsia"/>
        </w:rPr>
        <w:t>开展商标相关业务咨询服务。</w:t>
      </w:r>
    </w:p>
    <w:p>
      <w:pPr>
        <w:pStyle w:val="165"/>
      </w:pPr>
      <w:r>
        <w:rPr>
          <w:rFonts w:hint="eastAsia"/>
        </w:rPr>
        <w:t>开展专利相关业务咨询服务。</w:t>
      </w:r>
    </w:p>
    <w:p>
      <w:pPr>
        <w:pStyle w:val="165"/>
      </w:pPr>
      <w:r>
        <w:rPr>
          <w:rFonts w:hint="eastAsia"/>
        </w:rPr>
        <w:t>开展知识产权维权业务咨询服务。</w:t>
      </w:r>
    </w:p>
    <w:p>
      <w:pPr>
        <w:pStyle w:val="165"/>
      </w:pPr>
      <w:r>
        <w:rPr>
          <w:rFonts w:hint="eastAsia"/>
        </w:rPr>
        <w:t>开展知识产权质押融资咨询服务。</w:t>
      </w:r>
    </w:p>
    <w:p>
      <w:pPr>
        <w:pStyle w:val="66"/>
        <w:spacing w:before="156" w:after="156"/>
      </w:pPr>
      <w:bookmarkStart w:id="67" w:name="_Toc111809922"/>
      <w:r>
        <w:rPr>
          <w:rFonts w:hint="eastAsia"/>
        </w:rPr>
        <w:t>市场准入服务</w:t>
      </w:r>
      <w:bookmarkEnd w:id="67"/>
    </w:p>
    <w:p>
      <w:pPr>
        <w:pStyle w:val="165"/>
      </w:pPr>
      <w:r>
        <w:rPr>
          <w:rFonts w:hint="eastAsia"/>
        </w:rPr>
        <w:t>指导协助企业办理市场主体设立登记、变更、注销登记等工作。</w:t>
      </w:r>
    </w:p>
    <w:p>
      <w:pPr>
        <w:pStyle w:val="165"/>
      </w:pPr>
      <w:r>
        <w:rPr>
          <w:rFonts w:hint="eastAsia"/>
        </w:rPr>
        <w:t>指导协助企业办理股权变更、质押登记等工作。</w:t>
      </w:r>
    </w:p>
    <w:p>
      <w:pPr>
        <w:pStyle w:val="165"/>
      </w:pPr>
      <w:r>
        <w:rPr>
          <w:rFonts w:hint="eastAsia"/>
        </w:rPr>
        <w:t>指导协助企业办理企业档案查询等工作。</w:t>
      </w:r>
    </w:p>
    <w:p>
      <w:pPr>
        <w:pStyle w:val="165"/>
      </w:pPr>
      <w:r>
        <w:rPr>
          <w:rFonts w:hint="eastAsia"/>
        </w:rPr>
        <w:t>指导协助企业开展年报工作。</w:t>
      </w:r>
    </w:p>
    <w:p>
      <w:pPr>
        <w:pStyle w:val="66"/>
        <w:spacing w:before="156" w:after="156"/>
      </w:pPr>
      <w:bookmarkStart w:id="68" w:name="_Toc111809923"/>
      <w:r>
        <w:rPr>
          <w:rFonts w:hint="eastAsia"/>
        </w:rPr>
        <w:t>其他服务</w:t>
      </w:r>
      <w:bookmarkEnd w:id="68"/>
    </w:p>
    <w:p>
      <w:pPr>
        <w:pStyle w:val="106"/>
        <w:spacing w:before="156" w:after="156"/>
      </w:pPr>
      <w:bookmarkStart w:id="69" w:name="_Toc111809924"/>
      <w:r>
        <w:rPr>
          <w:rFonts w:hint="eastAsia"/>
        </w:rPr>
        <w:t>服务流程</w:t>
      </w:r>
      <w:bookmarkEnd w:id="69"/>
    </w:p>
    <w:p>
      <w:pPr>
        <w:pStyle w:val="66"/>
        <w:spacing w:before="156" w:after="156"/>
      </w:pPr>
      <w:bookmarkStart w:id="70" w:name="_Toc111809925"/>
      <w:r>
        <w:rPr>
          <w:rFonts w:hint="eastAsia"/>
        </w:rPr>
        <w:t>需求收集</w:t>
      </w:r>
      <w:bookmarkEnd w:id="70"/>
    </w:p>
    <w:p>
      <w:pPr>
        <w:pStyle w:val="165"/>
      </w:pPr>
      <w:r>
        <w:rPr>
          <w:rFonts w:hint="eastAsia"/>
        </w:rPr>
        <w:t>工作站应定期开展企业巡访，宣传质量服务项目，主动收集企业质量服务需求。</w:t>
      </w:r>
    </w:p>
    <w:p>
      <w:pPr>
        <w:pStyle w:val="165"/>
      </w:pPr>
      <w:r>
        <w:rPr>
          <w:rFonts w:hint="eastAsia"/>
        </w:rPr>
        <w:t>工作站在日常服务企业过程中,可主动收集企业服务需求。</w:t>
      </w:r>
    </w:p>
    <w:p>
      <w:pPr>
        <w:pStyle w:val="165"/>
      </w:pPr>
      <w:r>
        <w:rPr>
          <w:rFonts w:hint="eastAsia"/>
        </w:rPr>
        <w:t>企业可通过电话、电子邮箱、即时通讯软件等渠道向工作站提出服务需求.</w:t>
      </w:r>
    </w:p>
    <w:p>
      <w:pPr>
        <w:pStyle w:val="165"/>
      </w:pPr>
      <w:r>
        <w:rPr>
          <w:rFonts w:hint="eastAsia"/>
        </w:rPr>
        <w:t>工作站应指导或协助企业填写《464质量服务需求表》(见附录</w:t>
      </w:r>
      <w:r>
        <w:t>D</w:t>
      </w:r>
      <w:r>
        <w:rPr>
          <w:rFonts w:hint="eastAsia"/>
        </w:rPr>
        <w:t>)。</w:t>
      </w:r>
    </w:p>
    <w:p>
      <w:pPr>
        <w:pStyle w:val="66"/>
        <w:spacing w:before="156" w:after="156"/>
      </w:pPr>
      <w:bookmarkStart w:id="71" w:name="_Toc111809926"/>
      <w:r>
        <w:rPr>
          <w:rFonts w:hint="eastAsia"/>
        </w:rPr>
        <w:t>服务对接</w:t>
      </w:r>
      <w:bookmarkEnd w:id="71"/>
    </w:p>
    <w:p>
      <w:pPr>
        <w:pStyle w:val="165"/>
      </w:pPr>
      <w:r>
        <w:rPr>
          <w:rFonts w:hint="eastAsia"/>
        </w:rPr>
        <w:t>工作站将收集的企业服务需求进行评估，如能自主实施服务的，则与企业预约服务时间，并及时开展服务；</w:t>
      </w:r>
    </w:p>
    <w:p>
      <w:pPr>
        <w:pStyle w:val="165"/>
      </w:pPr>
      <w:r>
        <w:rPr>
          <w:rFonts w:hint="eastAsia"/>
        </w:rPr>
        <w:t>如不能自主实施服务的，则及时联系提供此项服务的相应机构，并指导企业与相应机构就服务项目、服务时间、服务周期等服务信息进行协商，并做好相应的服务记录。</w:t>
      </w:r>
    </w:p>
    <w:p>
      <w:pPr>
        <w:pStyle w:val="66"/>
        <w:spacing w:before="156" w:after="156"/>
      </w:pPr>
      <w:bookmarkStart w:id="72" w:name="_Toc111809927"/>
      <w:r>
        <w:rPr>
          <w:rFonts w:hint="eastAsia"/>
        </w:rPr>
        <w:t>服务跟进</w:t>
      </w:r>
      <w:bookmarkEnd w:id="72"/>
    </w:p>
    <w:p>
      <w:pPr>
        <w:pStyle w:val="165"/>
      </w:pPr>
      <w:r>
        <w:rPr>
          <w:rFonts w:hint="eastAsia"/>
        </w:rPr>
        <w:t>工作站应主动与服务机构和企业保持联系，在服务过程中做好解释、协调等服务跟进工作，并做好服务记录。</w:t>
      </w:r>
    </w:p>
    <w:p>
      <w:pPr>
        <w:pStyle w:val="165"/>
      </w:pPr>
      <w:r>
        <w:rPr>
          <w:rFonts w:hint="eastAsia"/>
        </w:rPr>
        <w:t>在服务周期内出现的问题，工作站应向服务机构、企业深入了解问题出现的原因，及时反馈给双方。</w:t>
      </w:r>
    </w:p>
    <w:p>
      <w:pPr>
        <w:pStyle w:val="66"/>
        <w:spacing w:before="156" w:after="156"/>
      </w:pPr>
      <w:bookmarkStart w:id="73" w:name="_Toc111809928"/>
      <w:r>
        <w:rPr>
          <w:rFonts w:hint="eastAsia"/>
        </w:rPr>
        <w:t>服务评价</w:t>
      </w:r>
      <w:bookmarkEnd w:id="73"/>
    </w:p>
    <w:p>
      <w:pPr>
        <w:pStyle w:val="232"/>
      </w:pPr>
      <w:r>
        <w:rPr>
          <w:rFonts w:hint="eastAsia" w:hAnsi="宋体"/>
        </w:rPr>
        <w:t>在服务结束后，工作站应请企业对服务过程满意度进行评价，收集企业意见和建议。</w:t>
      </w:r>
    </w:p>
    <w:p>
      <w:pPr>
        <w:pStyle w:val="105"/>
        <w:spacing w:before="312" w:after="312"/>
        <w:rPr>
          <w:szCs w:val="21"/>
        </w:rPr>
      </w:pPr>
      <w:bookmarkStart w:id="74" w:name="_Toc111809929"/>
      <w:r>
        <w:rPr>
          <w:rFonts w:hint="eastAsia"/>
          <w:szCs w:val="21"/>
        </w:rPr>
        <w:t>服务质量监督</w:t>
      </w:r>
      <w:bookmarkEnd w:id="74"/>
    </w:p>
    <w:p>
      <w:pPr>
        <w:pStyle w:val="163"/>
      </w:pPr>
      <w:r>
        <w:rPr>
          <w:rFonts w:hint="eastAsia"/>
        </w:rPr>
        <w:t>工作站应在显著位置设立意见箱，公开监督电话、监督微信等投诉方式，主动接受社会监督，对社会各界提出的意见和建议应做好记录，对合理的意见和建议及时提出改进计划、按期整改，及时公布改进方式与结果，并将有关信息归档备查。</w:t>
      </w:r>
    </w:p>
    <w:p>
      <w:pPr>
        <w:pStyle w:val="163"/>
      </w:pPr>
      <w:r>
        <w:rPr>
          <w:rFonts w:hint="eastAsia"/>
        </w:rPr>
        <w:t>对每项服务过程应填写《服务记录表》，《服务记录表》包含服务意见和满意度评价（见附录</w:t>
      </w:r>
      <w:r>
        <w:t>E</w:t>
      </w:r>
      <w:r>
        <w:rPr>
          <w:rFonts w:hint="eastAsia"/>
        </w:rPr>
        <w:t>)。</w:t>
      </w:r>
    </w:p>
    <w:p>
      <w:pPr>
        <w:pStyle w:val="163"/>
      </w:pPr>
      <w:r>
        <w:rPr>
          <w:rFonts w:hint="eastAsia"/>
        </w:rPr>
        <w:t>工作站站长对重要的服务项目及时进行监督评价，及时进行服务成效的总结。</w:t>
      </w:r>
    </w:p>
    <w:p>
      <w:pPr>
        <w:pStyle w:val="163"/>
      </w:pPr>
      <w:r>
        <w:rPr>
          <w:rFonts w:hint="eastAsia"/>
        </w:rPr>
        <w:t>工作站站长对内部工作质量进行监督，对服务人员进行定期的考核。</w:t>
      </w:r>
    </w:p>
    <w:p>
      <w:pPr>
        <w:pStyle w:val="163"/>
      </w:pPr>
      <w:r>
        <w:rPr>
          <w:rFonts w:hint="eastAsia"/>
        </w:rPr>
        <w:t>因服务产生的企业投诉及相关纠纷，可参照GB/T 19012、GB/T 19013的相关要求处理。</w:t>
      </w:r>
    </w:p>
    <w:p>
      <w:pPr>
        <w:pStyle w:val="105"/>
        <w:spacing w:before="312" w:after="312"/>
        <w:rPr>
          <w:szCs w:val="21"/>
        </w:rPr>
      </w:pPr>
      <w:bookmarkStart w:id="75" w:name="_Toc111809930"/>
      <w:r>
        <w:rPr>
          <w:rFonts w:hint="eastAsia"/>
          <w:szCs w:val="21"/>
        </w:rPr>
        <w:t>档案管理</w:t>
      </w:r>
      <w:bookmarkEnd w:id="75"/>
    </w:p>
    <w:p>
      <w:pPr>
        <w:pStyle w:val="163"/>
      </w:pPr>
      <w:r>
        <w:rPr>
          <w:rFonts w:hint="eastAsia"/>
        </w:rPr>
        <w:t>工作站应建立企业基本信息、服务记录等企业质量档案。</w:t>
      </w:r>
    </w:p>
    <w:p>
      <w:pPr>
        <w:pStyle w:val="163"/>
      </w:pPr>
      <w:r>
        <w:rPr>
          <w:rFonts w:hint="eastAsia"/>
        </w:rPr>
        <w:t>工作站应做好服务的实时记录工作,记录内容完整、真实和准确。</w:t>
      </w:r>
    </w:p>
    <w:p>
      <w:pPr>
        <w:pStyle w:val="163"/>
      </w:pPr>
      <w:r>
        <w:rPr>
          <w:rFonts w:hint="eastAsia"/>
        </w:rPr>
        <w:t>工作站应对服务过程中获取的企业信息予以保密，未经授权，不应它用。</w:t>
      </w:r>
    </w:p>
    <w:p>
      <w:pPr>
        <w:pStyle w:val="163"/>
      </w:pPr>
      <w:r>
        <w:rPr>
          <w:rFonts w:hint="eastAsia"/>
        </w:rPr>
        <w:t>各类资料应按一定顺序编号，统一归档保存和使用。</w:t>
      </w:r>
    </w:p>
    <w:p>
      <w:pPr>
        <w:widowControl/>
        <w:adjustRightInd/>
        <w:spacing w:line="240" w:lineRule="auto"/>
        <w:jc w:val="left"/>
        <w:rPr>
          <w:rFonts w:ascii="黑体" w:hAnsi="黑体" w:eastAsia="黑体"/>
        </w:rPr>
      </w:pPr>
      <w:r>
        <w:rPr>
          <w:rFonts w:ascii="黑体" w:hAnsi="黑体" w:eastAsia="黑体"/>
        </w:rPr>
        <w:br w:type="page"/>
      </w:r>
    </w:p>
    <w:p>
      <w:pPr>
        <w:widowControl/>
        <w:shd w:val="clear" w:color="FFFFFF" w:fill="FFFFFF"/>
        <w:tabs>
          <w:tab w:val="left" w:pos="6406"/>
        </w:tabs>
        <w:adjustRightInd/>
        <w:spacing w:before="78" w:beforeLines="25" w:after="156" w:afterLines="50" w:line="240" w:lineRule="auto"/>
        <w:jc w:val="center"/>
        <w:outlineLvl w:val="0"/>
        <w:rPr>
          <w:rFonts w:ascii="黑体" w:hAnsi="Times New Roman" w:eastAsia="黑体"/>
          <w:kern w:val="0"/>
          <w:szCs w:val="20"/>
        </w:rPr>
      </w:pPr>
      <w:bookmarkStart w:id="76" w:name="_Hlk100818921"/>
      <w:r>
        <w:rPr>
          <w:rFonts w:hint="eastAsia" w:ascii="黑体" w:hAnsi="Times New Roman" w:eastAsia="黑体"/>
          <w:kern w:val="0"/>
          <w:szCs w:val="20"/>
        </w:rPr>
        <w:t>附录A</w:t>
      </w:r>
      <w:r>
        <w:rPr>
          <w:rFonts w:ascii="黑体" w:hAnsi="Times New Roman" w:eastAsia="黑体"/>
          <w:kern w:val="0"/>
          <w:szCs w:val="20"/>
        </w:rPr>
        <w:br w:type="textWrapping"/>
      </w:r>
      <w:r>
        <w:rPr>
          <w:rFonts w:hint="eastAsia" w:ascii="黑体" w:hAnsi="Times New Roman" w:eastAsia="黑体"/>
          <w:kern w:val="0"/>
          <w:szCs w:val="20"/>
        </w:rPr>
        <w:t>（资料性）</w:t>
      </w:r>
      <w:r>
        <w:rPr>
          <w:rFonts w:ascii="黑体" w:hAnsi="Times New Roman" w:eastAsia="黑体"/>
          <w:kern w:val="0"/>
          <w:szCs w:val="20"/>
        </w:rPr>
        <w:br w:type="textWrapping"/>
      </w:r>
      <w:r>
        <w:rPr>
          <w:rFonts w:hint="eastAsia" w:ascii="黑体" w:hAnsi="Times New Roman" w:eastAsia="黑体"/>
          <w:kern w:val="0"/>
          <w:szCs w:val="20"/>
        </w:rPr>
        <w:t>“464”服务高质量发展行动工作站岗位职责</w:t>
      </w:r>
      <w:bookmarkEnd w:id="76"/>
    </w:p>
    <w:p>
      <w:pPr>
        <w:spacing w:line="360" w:lineRule="auto"/>
        <w:jc w:val="left"/>
        <w:rPr>
          <w:rFonts w:ascii="宋体" w:hAnsi="宋体"/>
          <w:kern w:val="0"/>
        </w:rPr>
      </w:pPr>
      <w:r>
        <w:rPr>
          <w:rFonts w:hint="eastAsia" w:ascii="宋体" w:hAnsi="宋体"/>
          <w:kern w:val="0"/>
        </w:rPr>
        <w:t>一、站长岗位职责</w:t>
      </w:r>
    </w:p>
    <w:p>
      <w:pPr>
        <w:spacing w:line="360" w:lineRule="auto"/>
        <w:jc w:val="left"/>
        <w:rPr>
          <w:rFonts w:ascii="宋体" w:hAnsi="宋体"/>
          <w:kern w:val="0"/>
        </w:rPr>
      </w:pPr>
      <w:r>
        <w:rPr>
          <w:rFonts w:hint="eastAsia" w:ascii="宋体" w:hAnsi="宋体"/>
          <w:kern w:val="0"/>
        </w:rPr>
        <w:t>1. 在宿州市市场监督管理局宿马现代产业园区分局指导下负责工作站全面工作。</w:t>
      </w:r>
    </w:p>
    <w:p>
      <w:pPr>
        <w:spacing w:line="360" w:lineRule="auto"/>
        <w:jc w:val="left"/>
        <w:rPr>
          <w:rFonts w:ascii="宋体" w:hAnsi="宋体"/>
          <w:kern w:val="0"/>
        </w:rPr>
      </w:pPr>
      <w:r>
        <w:rPr>
          <w:rFonts w:hint="eastAsia" w:ascii="宋体" w:hAnsi="宋体"/>
          <w:kern w:val="0"/>
        </w:rPr>
        <w:t>2. 建立完善工作站工作制度，工作流程、突发性事件应急处理预案，并严格执行。</w:t>
      </w:r>
    </w:p>
    <w:p>
      <w:pPr>
        <w:spacing w:line="360" w:lineRule="auto"/>
        <w:jc w:val="left"/>
        <w:rPr>
          <w:rFonts w:ascii="宋体" w:hAnsi="宋体"/>
          <w:kern w:val="0"/>
        </w:rPr>
      </w:pPr>
      <w:r>
        <w:rPr>
          <w:rFonts w:hint="eastAsia" w:ascii="宋体" w:hAnsi="宋体"/>
          <w:kern w:val="0"/>
        </w:rPr>
        <w:t>3. 负责工作站工作人员人日常考核。</w:t>
      </w:r>
    </w:p>
    <w:p>
      <w:pPr>
        <w:spacing w:line="360" w:lineRule="auto"/>
        <w:jc w:val="left"/>
        <w:rPr>
          <w:rFonts w:ascii="宋体" w:hAnsi="宋体"/>
          <w:kern w:val="0"/>
        </w:rPr>
      </w:pPr>
      <w:r>
        <w:rPr>
          <w:rFonts w:hint="eastAsia" w:ascii="宋体" w:hAnsi="宋体"/>
          <w:kern w:val="0"/>
        </w:rPr>
        <w:t>4. 对重要的服务项目及时进行监督评价，及时进行服务成效的总结。</w:t>
      </w:r>
    </w:p>
    <w:p>
      <w:pPr>
        <w:spacing w:line="360" w:lineRule="auto"/>
        <w:jc w:val="left"/>
        <w:rPr>
          <w:rFonts w:ascii="宋体" w:hAnsi="宋体"/>
          <w:kern w:val="0"/>
        </w:rPr>
      </w:pPr>
      <w:r>
        <w:rPr>
          <w:rFonts w:hint="eastAsia" w:ascii="宋体" w:hAnsi="宋体"/>
          <w:kern w:val="0"/>
        </w:rPr>
        <w:t>5. 对内部工作质量进行监督，对服务的文明性、及时性、正确率等进行定期的考核。</w:t>
      </w:r>
    </w:p>
    <w:p>
      <w:pPr>
        <w:spacing w:line="360" w:lineRule="auto"/>
        <w:jc w:val="left"/>
        <w:rPr>
          <w:rFonts w:ascii="宋体" w:hAnsi="宋体"/>
          <w:kern w:val="0"/>
        </w:rPr>
      </w:pPr>
      <w:r>
        <w:rPr>
          <w:rFonts w:hint="eastAsia" w:ascii="宋体" w:hAnsi="宋体"/>
          <w:kern w:val="0"/>
        </w:rPr>
        <w:t>6. 负责处理对工作站的投诉，反馈结果。</w:t>
      </w:r>
    </w:p>
    <w:p>
      <w:pPr>
        <w:spacing w:line="360" w:lineRule="auto"/>
        <w:jc w:val="left"/>
        <w:rPr>
          <w:rFonts w:ascii="宋体" w:hAnsi="宋体"/>
          <w:kern w:val="0"/>
        </w:rPr>
      </w:pPr>
      <w:r>
        <w:rPr>
          <w:rFonts w:hint="eastAsia" w:ascii="宋体" w:hAnsi="宋体"/>
          <w:kern w:val="0"/>
        </w:rPr>
        <w:t>7. 负责定期向宿州市市场监督管理局宿马现代产业园区分局报告工作开展情况。突发性事件，随时报告。</w:t>
      </w:r>
    </w:p>
    <w:p>
      <w:pPr>
        <w:spacing w:line="360" w:lineRule="auto"/>
        <w:jc w:val="left"/>
        <w:rPr>
          <w:rFonts w:ascii="宋体" w:hAnsi="宋体"/>
          <w:kern w:val="0"/>
        </w:rPr>
      </w:pPr>
      <w:r>
        <w:rPr>
          <w:rFonts w:hint="eastAsia" w:ascii="宋体" w:hAnsi="宋体"/>
          <w:kern w:val="0"/>
        </w:rPr>
        <w:t>8.完成宿州市市场监督管理局宿马现代产业园区分局交办的其他工作。</w:t>
      </w:r>
    </w:p>
    <w:p>
      <w:pPr>
        <w:spacing w:line="360" w:lineRule="auto"/>
        <w:jc w:val="left"/>
        <w:rPr>
          <w:rFonts w:ascii="宋体" w:hAnsi="宋体"/>
          <w:kern w:val="0"/>
        </w:rPr>
      </w:pPr>
      <w:r>
        <w:rPr>
          <w:rFonts w:hint="eastAsia" w:ascii="宋体" w:hAnsi="宋体"/>
          <w:kern w:val="0"/>
        </w:rPr>
        <w:t>二、工作人员岗位职责</w:t>
      </w:r>
    </w:p>
    <w:p>
      <w:pPr>
        <w:spacing w:line="360" w:lineRule="auto"/>
        <w:jc w:val="left"/>
        <w:rPr>
          <w:rFonts w:ascii="宋体" w:hAnsi="宋体"/>
          <w:kern w:val="0"/>
        </w:rPr>
      </w:pPr>
      <w:r>
        <w:rPr>
          <w:rFonts w:hint="eastAsia" w:ascii="宋体" w:hAnsi="宋体"/>
          <w:kern w:val="0"/>
        </w:rPr>
        <w:t>1. 负责服务企业的定期走访，质量服务诉求的受理、办理、转办、跟踪、评价。</w:t>
      </w:r>
    </w:p>
    <w:p>
      <w:pPr>
        <w:spacing w:line="360" w:lineRule="auto"/>
        <w:jc w:val="left"/>
        <w:rPr>
          <w:rFonts w:ascii="宋体" w:hAnsi="宋体"/>
          <w:kern w:val="0"/>
        </w:rPr>
      </w:pPr>
      <w:r>
        <w:rPr>
          <w:rFonts w:hint="eastAsia" w:ascii="宋体" w:hAnsi="宋体"/>
          <w:kern w:val="0"/>
        </w:rPr>
        <w:t>2. 严格执行工作站工作制度，工作流程、突发性事件应急处理预案。</w:t>
      </w:r>
    </w:p>
    <w:p>
      <w:pPr>
        <w:spacing w:line="360" w:lineRule="auto"/>
        <w:jc w:val="left"/>
        <w:rPr>
          <w:rFonts w:ascii="宋体" w:hAnsi="宋体"/>
          <w:kern w:val="0"/>
        </w:rPr>
      </w:pPr>
      <w:r>
        <w:rPr>
          <w:rFonts w:hint="eastAsia" w:ascii="宋体" w:hAnsi="宋体"/>
          <w:kern w:val="0"/>
        </w:rPr>
        <w:t>3. 负责定期向宿州市市场监督管理局宿马现代产业园区分局站长报告工作开展情况。突发性事件，随时报告。</w:t>
      </w:r>
    </w:p>
    <w:p>
      <w:pPr>
        <w:spacing w:line="360" w:lineRule="auto"/>
        <w:jc w:val="left"/>
        <w:rPr>
          <w:rFonts w:ascii="宋体" w:hAnsi="宋体"/>
          <w:kern w:val="0"/>
        </w:rPr>
      </w:pPr>
      <w:r>
        <w:rPr>
          <w:rFonts w:hint="eastAsia" w:ascii="宋体" w:hAnsi="宋体"/>
          <w:kern w:val="0"/>
        </w:rPr>
        <w:t>4. 负责通知企业人员参加省市园区组织的培训。</w:t>
      </w:r>
    </w:p>
    <w:p>
      <w:pPr>
        <w:spacing w:line="360" w:lineRule="auto"/>
        <w:jc w:val="left"/>
        <w:rPr>
          <w:rFonts w:ascii="宋体" w:hAnsi="宋体"/>
          <w:kern w:val="0"/>
        </w:rPr>
      </w:pPr>
      <w:r>
        <w:rPr>
          <w:rFonts w:hint="eastAsia" w:ascii="宋体" w:hAnsi="宋体"/>
          <w:kern w:val="0"/>
        </w:rPr>
        <w:t>5. 负责组织企业人员参加观摩。</w:t>
      </w:r>
    </w:p>
    <w:p>
      <w:pPr>
        <w:spacing w:line="360" w:lineRule="auto"/>
        <w:jc w:val="left"/>
        <w:rPr>
          <w:rFonts w:ascii="宋体" w:hAnsi="宋体"/>
          <w:kern w:val="0"/>
        </w:rPr>
      </w:pPr>
      <w:r>
        <w:rPr>
          <w:rFonts w:hint="eastAsia" w:ascii="宋体" w:hAnsi="宋体"/>
          <w:kern w:val="0"/>
        </w:rPr>
        <w:t>6. 负责处理对工作站的投诉。</w:t>
      </w:r>
    </w:p>
    <w:p>
      <w:pPr>
        <w:spacing w:line="360" w:lineRule="auto"/>
        <w:jc w:val="left"/>
        <w:rPr>
          <w:rFonts w:ascii="宋体" w:hAnsi="宋体"/>
          <w:kern w:val="0"/>
        </w:rPr>
      </w:pPr>
      <w:r>
        <w:rPr>
          <w:rFonts w:hint="eastAsia" w:ascii="宋体" w:hAnsi="宋体"/>
          <w:kern w:val="0"/>
        </w:rPr>
        <w:t>7. 完成站长交办的其他工作。</w:t>
      </w:r>
    </w:p>
    <w:p>
      <w:pPr>
        <w:pStyle w:val="57"/>
        <w:ind w:firstLine="420"/>
      </w:pPr>
    </w:p>
    <w:p>
      <w:pPr>
        <w:pStyle w:val="57"/>
        <w:ind w:firstLine="420"/>
      </w:pPr>
    </w:p>
    <w:p>
      <w:pPr>
        <w:pStyle w:val="57"/>
        <w:ind w:firstLine="420"/>
      </w:pPr>
    </w:p>
    <w:p>
      <w:pPr>
        <w:widowControl/>
        <w:adjustRightInd/>
        <w:spacing w:line="240" w:lineRule="auto"/>
        <w:jc w:val="left"/>
        <w:rPr>
          <w:rFonts w:ascii="宋体" w:hAnsi="Times New Roman"/>
          <w:kern w:val="0"/>
          <w:szCs w:val="20"/>
        </w:rPr>
      </w:pPr>
      <w:r>
        <w:br w:type="page"/>
      </w:r>
    </w:p>
    <w:p>
      <w:pPr>
        <w:widowControl/>
        <w:shd w:val="clear" w:color="FFFFFF" w:fill="FFFFFF"/>
        <w:tabs>
          <w:tab w:val="left" w:pos="6406"/>
        </w:tabs>
        <w:adjustRightInd/>
        <w:spacing w:before="78" w:beforeLines="25" w:after="156" w:afterLines="50" w:line="240" w:lineRule="auto"/>
        <w:jc w:val="center"/>
        <w:outlineLvl w:val="0"/>
        <w:rPr>
          <w:rFonts w:ascii="黑体" w:hAnsi="Times New Roman" w:eastAsia="黑体"/>
          <w:kern w:val="0"/>
          <w:szCs w:val="20"/>
        </w:rPr>
      </w:pPr>
      <w:r>
        <w:rPr>
          <w:rFonts w:hint="eastAsia" w:ascii="黑体" w:hAnsi="Times New Roman" w:eastAsia="黑体"/>
          <w:kern w:val="0"/>
          <w:szCs w:val="20"/>
        </w:rPr>
        <w:t>附录</w:t>
      </w:r>
      <w:r>
        <w:rPr>
          <w:rFonts w:ascii="黑体" w:hAnsi="Times New Roman" w:eastAsia="黑体"/>
          <w:kern w:val="0"/>
          <w:szCs w:val="20"/>
        </w:rPr>
        <w:t>B</w:t>
      </w:r>
      <w:r>
        <w:rPr>
          <w:rFonts w:ascii="黑体" w:hAnsi="Times New Roman" w:eastAsia="黑体"/>
          <w:kern w:val="0"/>
          <w:szCs w:val="20"/>
        </w:rPr>
        <w:br w:type="textWrapping"/>
      </w:r>
      <w:r>
        <w:rPr>
          <w:rFonts w:hint="eastAsia" w:ascii="黑体" w:hAnsi="Times New Roman" w:eastAsia="黑体"/>
          <w:kern w:val="0"/>
          <w:szCs w:val="20"/>
        </w:rPr>
        <w:t>（资料性）</w:t>
      </w:r>
      <w:r>
        <w:rPr>
          <w:rFonts w:ascii="黑体" w:hAnsi="Times New Roman" w:eastAsia="黑体"/>
          <w:kern w:val="0"/>
          <w:szCs w:val="20"/>
        </w:rPr>
        <w:br w:type="textWrapping"/>
      </w:r>
      <w:r>
        <w:rPr>
          <w:rFonts w:hint="eastAsia" w:ascii="黑体" w:hAnsi="Times New Roman" w:eastAsia="黑体"/>
          <w:kern w:val="0"/>
          <w:szCs w:val="20"/>
        </w:rPr>
        <w:t>“464”服务高质量发展行动工作站工作流程图</w:t>
      </w:r>
    </w:p>
    <w:p>
      <w:pPr>
        <w:pStyle w:val="57"/>
        <w:ind w:firstLine="420"/>
      </w:pPr>
      <w:r>
        <w:drawing>
          <wp:inline distT="0" distB="0" distL="0" distR="0">
            <wp:extent cx="5939790" cy="7489190"/>
            <wp:effectExtent l="0" t="0" r="381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4"/>
                    <a:stretch>
                      <a:fillRect/>
                    </a:stretch>
                  </pic:blipFill>
                  <pic:spPr>
                    <a:xfrm>
                      <a:off x="0" y="0"/>
                      <a:ext cx="5941207" cy="7491158"/>
                    </a:xfrm>
                    <a:prstGeom prst="rect">
                      <a:avLst/>
                    </a:prstGeom>
                  </pic:spPr>
                </pic:pic>
              </a:graphicData>
            </a:graphic>
          </wp:inline>
        </w:drawing>
      </w:r>
    </w:p>
    <w:p>
      <w:pPr>
        <w:widowControl/>
        <w:adjustRightInd/>
        <w:spacing w:line="240" w:lineRule="auto"/>
        <w:jc w:val="left"/>
        <w:rPr>
          <w:rFonts w:ascii="宋体" w:hAnsi="Times New Roman"/>
          <w:kern w:val="0"/>
          <w:szCs w:val="20"/>
        </w:rPr>
      </w:pPr>
      <w:r>
        <w:br w:type="page"/>
      </w:r>
    </w:p>
    <w:p>
      <w:pPr>
        <w:widowControl/>
        <w:shd w:val="clear" w:color="FFFFFF" w:fill="FFFFFF"/>
        <w:tabs>
          <w:tab w:val="left" w:pos="6406"/>
        </w:tabs>
        <w:adjustRightInd/>
        <w:spacing w:before="78" w:beforeLines="25" w:after="156" w:afterLines="50" w:line="240" w:lineRule="auto"/>
        <w:jc w:val="center"/>
        <w:outlineLvl w:val="0"/>
        <w:rPr>
          <w:rFonts w:ascii="黑体" w:hAnsi="Times New Roman" w:eastAsia="黑体"/>
          <w:kern w:val="0"/>
          <w:szCs w:val="20"/>
        </w:rPr>
      </w:pPr>
      <w:bookmarkStart w:id="77" w:name="_Hlk100819814"/>
      <w:r>
        <w:rPr>
          <w:rFonts w:hint="eastAsia" w:ascii="黑体" w:hAnsi="Times New Roman" w:eastAsia="黑体"/>
          <w:kern w:val="0"/>
          <w:szCs w:val="20"/>
        </w:rPr>
        <w:t>附录</w:t>
      </w:r>
      <w:r>
        <w:rPr>
          <w:rFonts w:ascii="黑体" w:hAnsi="Times New Roman" w:eastAsia="黑体"/>
          <w:kern w:val="0"/>
          <w:szCs w:val="20"/>
        </w:rPr>
        <w:t>C</w:t>
      </w:r>
      <w:r>
        <w:rPr>
          <w:rFonts w:ascii="黑体" w:hAnsi="Times New Roman" w:eastAsia="黑体"/>
          <w:kern w:val="0"/>
          <w:szCs w:val="20"/>
        </w:rPr>
        <w:br w:type="textWrapping"/>
      </w:r>
      <w:r>
        <w:rPr>
          <w:rFonts w:hint="eastAsia" w:ascii="黑体" w:hAnsi="Times New Roman" w:eastAsia="黑体"/>
          <w:kern w:val="0"/>
          <w:szCs w:val="20"/>
        </w:rPr>
        <w:t>（资料性）</w:t>
      </w:r>
      <w:r>
        <w:rPr>
          <w:rFonts w:ascii="黑体" w:hAnsi="Times New Roman" w:eastAsia="黑体"/>
          <w:kern w:val="0"/>
          <w:szCs w:val="20"/>
        </w:rPr>
        <w:br w:type="textWrapping"/>
      </w:r>
      <w:r>
        <w:rPr>
          <w:rFonts w:hint="eastAsia" w:ascii="黑体" w:hAnsi="Times New Roman" w:eastAsia="黑体"/>
          <w:kern w:val="0"/>
          <w:szCs w:val="20"/>
        </w:rPr>
        <w:t>“464”服务高质量发展行动工作站工作人员服务准则</w:t>
      </w:r>
    </w:p>
    <w:bookmarkEnd w:id="77"/>
    <w:p>
      <w:pPr>
        <w:pStyle w:val="57"/>
        <w:ind w:firstLine="420"/>
      </w:pPr>
    </w:p>
    <w:p>
      <w:pPr>
        <w:pStyle w:val="57"/>
        <w:ind w:firstLine="420"/>
      </w:pPr>
    </w:p>
    <w:p>
      <w:pPr>
        <w:pStyle w:val="57"/>
        <w:ind w:firstLine="420"/>
      </w:pPr>
    </w:p>
    <w:p>
      <w:pPr>
        <w:jc w:val="center"/>
        <w:rPr>
          <w:rFonts w:ascii="黑体" w:hAnsi="黑体" w:eastAsia="黑体"/>
          <w:b/>
        </w:rPr>
      </w:pPr>
      <w:bookmarkStart w:id="78" w:name="_Hlk100819778"/>
      <w:r>
        <w:rPr>
          <w:rFonts w:hint="eastAsia" w:ascii="方正小标宋简体" w:hAnsi="方正小标宋简体" w:eastAsia="方正小标宋简体" w:cs="方正小标宋简体"/>
          <w:color w:val="333333"/>
          <w:sz w:val="28"/>
          <w:szCs w:val="28"/>
        </w:rPr>
        <w:t>“464”服务高质量发展行动工作站工作人员服务准则</w:t>
      </w:r>
    </w:p>
    <w:bookmarkEnd w:id="78"/>
    <w:p>
      <w:pPr>
        <w:spacing w:line="360" w:lineRule="auto"/>
        <w:jc w:val="center"/>
        <w:rPr>
          <w:sz w:val="44"/>
          <w:szCs w:val="44"/>
        </w:rPr>
      </w:pPr>
    </w:p>
    <w:p>
      <w:pPr>
        <w:spacing w:line="360" w:lineRule="auto"/>
        <w:jc w:val="left"/>
        <w:rPr>
          <w:rFonts w:ascii="宋体" w:hAnsi="宋体"/>
          <w:kern w:val="0"/>
        </w:rPr>
      </w:pPr>
      <w:r>
        <w:rPr>
          <w:rFonts w:hint="eastAsia" w:ascii="宋体" w:hAnsi="宋体"/>
          <w:kern w:val="0"/>
        </w:rPr>
        <w:t>一、文明服务。服务场所规范、设施便利；工作人员挂牌服务，语言文明，态度热情；尊重隐私，保守秘密，诚实守信。</w:t>
      </w:r>
    </w:p>
    <w:p>
      <w:pPr>
        <w:spacing w:line="360" w:lineRule="auto"/>
        <w:jc w:val="left"/>
        <w:rPr>
          <w:rFonts w:ascii="宋体" w:hAnsi="宋体"/>
          <w:kern w:val="0"/>
        </w:rPr>
      </w:pPr>
      <w:r>
        <w:rPr>
          <w:rFonts w:hint="eastAsia" w:ascii="宋体" w:hAnsi="宋体"/>
          <w:kern w:val="0"/>
        </w:rPr>
        <w:t>二、公平服务。对所有服务对象一律平等对待，公平服务，不歧视。</w:t>
      </w:r>
    </w:p>
    <w:p>
      <w:pPr>
        <w:spacing w:line="360" w:lineRule="auto"/>
        <w:jc w:val="left"/>
        <w:rPr>
          <w:rFonts w:ascii="宋体" w:hAnsi="宋体"/>
          <w:kern w:val="0"/>
        </w:rPr>
      </w:pPr>
      <w:r>
        <w:rPr>
          <w:rFonts w:hint="eastAsia" w:ascii="宋体" w:hAnsi="宋体"/>
          <w:kern w:val="0"/>
        </w:rPr>
        <w:t>三、优先服务。对于时间紧急的对象应提供优先服务和重点帮助。</w:t>
      </w:r>
    </w:p>
    <w:p>
      <w:pPr>
        <w:spacing w:line="360" w:lineRule="auto"/>
        <w:jc w:val="left"/>
        <w:rPr>
          <w:rFonts w:ascii="宋体" w:hAnsi="宋体"/>
          <w:kern w:val="0"/>
        </w:rPr>
      </w:pPr>
      <w:r>
        <w:rPr>
          <w:rFonts w:hint="eastAsia" w:ascii="宋体" w:hAnsi="宋体"/>
          <w:kern w:val="0"/>
        </w:rPr>
        <w:t>四、高效服务。运用现代化技术手段，提供全面、快捷、准确的服务；主动简化办事程序。</w:t>
      </w:r>
    </w:p>
    <w:p>
      <w:pPr>
        <w:spacing w:line="360" w:lineRule="auto"/>
        <w:jc w:val="left"/>
        <w:rPr>
          <w:rFonts w:ascii="宋体" w:hAnsi="宋体"/>
          <w:kern w:val="0"/>
        </w:rPr>
      </w:pPr>
      <w:r>
        <w:rPr>
          <w:rFonts w:hint="eastAsia" w:ascii="宋体" w:hAnsi="宋体"/>
          <w:kern w:val="0"/>
        </w:rPr>
        <w:t>五、灵活服务。服务方式多样化，满足不同服务对象的服务需求；在共同协商的基础上建立服务内容和服务约定。</w:t>
      </w:r>
    </w:p>
    <w:p>
      <w:pPr>
        <w:spacing w:line="360" w:lineRule="auto"/>
        <w:jc w:val="left"/>
        <w:rPr>
          <w:rFonts w:ascii="宋体" w:hAnsi="宋体"/>
          <w:kern w:val="0"/>
        </w:rPr>
      </w:pPr>
      <w:r>
        <w:rPr>
          <w:rFonts w:hint="eastAsia" w:ascii="宋体" w:hAnsi="宋体"/>
          <w:kern w:val="0"/>
        </w:rPr>
        <w:t>六、公开服务。公开服务项目、服务内容、政策规定和审批程序，设立监督电话，接收监督。</w:t>
      </w:r>
    </w:p>
    <w:p>
      <w:pPr>
        <w:pStyle w:val="57"/>
        <w:ind w:firstLine="420"/>
      </w:pPr>
      <w:r>
        <w:rPr>
          <w:rFonts w:hint="eastAsia" w:hAnsi="宋体"/>
          <w:szCs w:val="21"/>
        </w:rPr>
        <w:t>七、政策解释准确，宣传到位，落实到位。</w:t>
      </w:r>
    </w:p>
    <w:p>
      <w:pPr>
        <w:pStyle w:val="57"/>
        <w:ind w:firstLine="420"/>
      </w:pPr>
    </w:p>
    <w:p>
      <w:pPr>
        <w:pStyle w:val="57"/>
        <w:ind w:firstLine="420"/>
      </w:pPr>
    </w:p>
    <w:p>
      <w:pPr>
        <w:pStyle w:val="57"/>
        <w:ind w:firstLine="420"/>
      </w:pPr>
    </w:p>
    <w:p>
      <w:pPr>
        <w:widowControl/>
        <w:adjustRightInd/>
        <w:spacing w:line="240" w:lineRule="auto"/>
        <w:jc w:val="left"/>
        <w:rPr>
          <w:rFonts w:ascii="宋体" w:hAnsi="Times New Roman"/>
          <w:kern w:val="0"/>
          <w:szCs w:val="20"/>
        </w:rPr>
      </w:pPr>
      <w:r>
        <w:br w:type="page"/>
      </w:r>
    </w:p>
    <w:p>
      <w:pPr>
        <w:widowControl/>
        <w:shd w:val="clear" w:color="FFFFFF" w:fill="FFFFFF"/>
        <w:tabs>
          <w:tab w:val="left" w:pos="6406"/>
        </w:tabs>
        <w:adjustRightInd/>
        <w:spacing w:before="78" w:beforeLines="25" w:after="156" w:afterLines="50" w:line="240" w:lineRule="auto"/>
        <w:jc w:val="center"/>
        <w:outlineLvl w:val="0"/>
        <w:rPr>
          <w:rFonts w:ascii="黑体" w:hAnsi="Times New Roman" w:eastAsia="黑体"/>
          <w:kern w:val="0"/>
          <w:szCs w:val="20"/>
        </w:rPr>
      </w:pPr>
      <w:r>
        <w:rPr>
          <w:rFonts w:hint="eastAsia" w:ascii="黑体" w:hAnsi="Times New Roman" w:eastAsia="黑体"/>
          <w:kern w:val="0"/>
          <w:szCs w:val="20"/>
        </w:rPr>
        <w:t>附录</w:t>
      </w:r>
      <w:r>
        <w:rPr>
          <w:rFonts w:ascii="黑体" w:hAnsi="Times New Roman" w:eastAsia="黑体"/>
          <w:kern w:val="0"/>
          <w:szCs w:val="20"/>
        </w:rPr>
        <w:t>D</w:t>
      </w:r>
      <w:r>
        <w:rPr>
          <w:rFonts w:ascii="黑体" w:hAnsi="Times New Roman" w:eastAsia="黑体"/>
          <w:kern w:val="0"/>
          <w:szCs w:val="20"/>
        </w:rPr>
        <w:br w:type="textWrapping"/>
      </w:r>
      <w:r>
        <w:rPr>
          <w:rFonts w:hint="eastAsia" w:ascii="黑体" w:hAnsi="Times New Roman" w:eastAsia="黑体"/>
          <w:kern w:val="0"/>
          <w:szCs w:val="20"/>
        </w:rPr>
        <w:t>（资料性）</w:t>
      </w:r>
      <w:r>
        <w:rPr>
          <w:rFonts w:ascii="黑体" w:hAnsi="Times New Roman" w:eastAsia="黑体"/>
          <w:kern w:val="0"/>
          <w:szCs w:val="20"/>
        </w:rPr>
        <w:br w:type="textWrapping"/>
      </w:r>
      <w:r>
        <w:rPr>
          <w:rFonts w:hint="eastAsia" w:ascii="黑体" w:hAnsi="Times New Roman" w:eastAsia="黑体"/>
          <w:kern w:val="0"/>
          <w:szCs w:val="20"/>
        </w:rPr>
        <w:t>“464”服务高质量发展行动需求表</w:t>
      </w:r>
    </w:p>
    <w:p>
      <w:pPr>
        <w:jc w:val="center"/>
        <w:rPr>
          <w:rFonts w:ascii="宋体" w:hAnsi="宋体"/>
          <w:b/>
        </w:rPr>
      </w:pPr>
      <w:r>
        <w:rPr>
          <w:rFonts w:hint="eastAsia" w:ascii="宋体" w:hAnsi="宋体"/>
          <w:b/>
        </w:rPr>
        <w:t>表D</w:t>
      </w:r>
      <w:r>
        <w:rPr>
          <w:rFonts w:ascii="宋体" w:hAnsi="宋体"/>
          <w:b/>
        </w:rPr>
        <w:t>.1</w:t>
      </w:r>
      <w:bookmarkStart w:id="79" w:name="_Hlk100819870"/>
      <w:r>
        <w:rPr>
          <w:rFonts w:ascii="宋体" w:hAnsi="宋体"/>
          <w:b/>
        </w:rPr>
        <w:t xml:space="preserve"> </w:t>
      </w:r>
      <w:r>
        <w:rPr>
          <w:rFonts w:hint="eastAsia" w:ascii="宋体" w:hAnsi="宋体"/>
          <w:b/>
        </w:rPr>
        <w:t>“464”服务高质量发展行动需求表</w:t>
      </w:r>
      <w:bookmarkEnd w:id="79"/>
    </w:p>
    <w:p>
      <w:pPr>
        <w:rPr>
          <w:rFonts w:ascii="宋体" w:hAnsi="宋体"/>
        </w:rPr>
      </w:pPr>
      <w:r>
        <w:rPr>
          <w:rFonts w:hint="eastAsia" w:ascii="宋体" w:hAnsi="宋体"/>
        </w:rPr>
        <w:t>编号:                                                   填表日期:</w:t>
      </w:r>
    </w:p>
    <w:tbl>
      <w:tblPr>
        <w:tblStyle w:val="27"/>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218"/>
        <w:gridCol w:w="342"/>
        <w:gridCol w:w="141"/>
        <w:gridCol w:w="284"/>
        <w:gridCol w:w="709"/>
        <w:gridCol w:w="283"/>
        <w:gridCol w:w="135"/>
        <w:gridCol w:w="947"/>
        <w:gridCol w:w="336"/>
        <w:gridCol w:w="425"/>
        <w:gridCol w:w="186"/>
        <w:gridCol w:w="664"/>
        <w:gridCol w:w="283"/>
        <w:gridCol w:w="143"/>
        <w:gridCol w:w="425"/>
        <w:gridCol w:w="142"/>
        <w:gridCol w:w="425"/>
        <w:gridCol w:w="142"/>
        <w:gridCol w:w="12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b/>
              </w:rPr>
            </w:pPr>
            <w:r>
              <w:rPr>
                <w:rFonts w:hint="eastAsia" w:ascii="宋体" w:hAnsi="宋体"/>
                <w:b/>
              </w:rPr>
              <w:t>一、企业基本情况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gridSpan w:val="3"/>
          </w:tcPr>
          <w:p>
            <w:pPr>
              <w:rPr>
                <w:rFonts w:ascii="宋体" w:hAnsi="宋体"/>
              </w:rPr>
            </w:pPr>
            <w:r>
              <w:rPr>
                <w:rFonts w:hint="eastAsia" w:ascii="宋体" w:hAnsi="宋体"/>
              </w:rPr>
              <w:t>企业名称</w:t>
            </w:r>
          </w:p>
        </w:tc>
        <w:tc>
          <w:tcPr>
            <w:tcW w:w="3260" w:type="dxa"/>
            <w:gridSpan w:val="8"/>
          </w:tcPr>
          <w:p>
            <w:pPr>
              <w:rPr>
                <w:rFonts w:ascii="宋体" w:hAnsi="宋体"/>
              </w:rPr>
            </w:pPr>
          </w:p>
        </w:tc>
        <w:tc>
          <w:tcPr>
            <w:tcW w:w="1701" w:type="dxa"/>
            <w:gridSpan w:val="5"/>
          </w:tcPr>
          <w:p>
            <w:pPr>
              <w:rPr>
                <w:rFonts w:ascii="宋体" w:hAnsi="宋体"/>
              </w:rPr>
            </w:pPr>
            <w:r>
              <w:rPr>
                <w:rFonts w:hint="eastAsia" w:ascii="宋体" w:hAnsi="宋体"/>
              </w:rPr>
              <w:t>企业法定代表人</w:t>
            </w:r>
          </w:p>
        </w:tc>
        <w:tc>
          <w:tcPr>
            <w:tcW w:w="1957" w:type="dxa"/>
            <w:gridSpan w:val="4"/>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gridSpan w:val="3"/>
          </w:tcPr>
          <w:p>
            <w:pPr>
              <w:rPr>
                <w:rFonts w:ascii="宋体" w:hAnsi="宋体"/>
              </w:rPr>
            </w:pPr>
            <w:r>
              <w:rPr>
                <w:rFonts w:hint="eastAsia" w:ascii="宋体" w:hAnsi="宋体"/>
              </w:rPr>
              <w:t>统一社会信用代码</w:t>
            </w:r>
          </w:p>
        </w:tc>
        <w:tc>
          <w:tcPr>
            <w:tcW w:w="3260" w:type="dxa"/>
            <w:gridSpan w:val="8"/>
          </w:tcPr>
          <w:p>
            <w:pPr>
              <w:rPr>
                <w:rFonts w:ascii="宋体" w:hAnsi="宋体"/>
              </w:rPr>
            </w:pPr>
          </w:p>
        </w:tc>
        <w:tc>
          <w:tcPr>
            <w:tcW w:w="1701" w:type="dxa"/>
            <w:gridSpan w:val="5"/>
          </w:tcPr>
          <w:p>
            <w:pPr>
              <w:rPr>
                <w:rFonts w:ascii="宋体" w:hAnsi="宋体"/>
              </w:rPr>
            </w:pPr>
            <w:r>
              <w:rPr>
                <w:rFonts w:hint="eastAsia" w:ascii="宋体" w:hAnsi="宋体"/>
              </w:rPr>
              <w:t>联系人</w:t>
            </w:r>
          </w:p>
        </w:tc>
        <w:tc>
          <w:tcPr>
            <w:tcW w:w="1957" w:type="dxa"/>
            <w:gridSpan w:val="4"/>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gridSpan w:val="3"/>
          </w:tcPr>
          <w:p>
            <w:pPr>
              <w:rPr>
                <w:rFonts w:ascii="宋体" w:hAnsi="宋体"/>
              </w:rPr>
            </w:pPr>
            <w:r>
              <w:rPr>
                <w:rFonts w:hint="eastAsia" w:ascii="宋体" w:hAnsi="宋体"/>
              </w:rPr>
              <w:t>电子邮箱</w:t>
            </w:r>
          </w:p>
        </w:tc>
        <w:tc>
          <w:tcPr>
            <w:tcW w:w="3260" w:type="dxa"/>
            <w:gridSpan w:val="8"/>
          </w:tcPr>
          <w:p>
            <w:pPr>
              <w:rPr>
                <w:rFonts w:ascii="宋体" w:hAnsi="宋体"/>
              </w:rPr>
            </w:pPr>
          </w:p>
        </w:tc>
        <w:tc>
          <w:tcPr>
            <w:tcW w:w="1701" w:type="dxa"/>
            <w:gridSpan w:val="5"/>
          </w:tcPr>
          <w:p>
            <w:pPr>
              <w:rPr>
                <w:rFonts w:ascii="宋体" w:hAnsi="宋体"/>
              </w:rPr>
            </w:pPr>
            <w:r>
              <w:rPr>
                <w:rFonts w:hint="eastAsia" w:ascii="宋体" w:hAnsi="宋体"/>
              </w:rPr>
              <w:t>电话</w:t>
            </w:r>
          </w:p>
        </w:tc>
        <w:tc>
          <w:tcPr>
            <w:tcW w:w="1957" w:type="dxa"/>
            <w:gridSpan w:val="4"/>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2235" w:type="dxa"/>
            <w:gridSpan w:val="3"/>
          </w:tcPr>
          <w:p>
            <w:pPr>
              <w:rPr>
                <w:rFonts w:ascii="宋体" w:hAnsi="宋体"/>
              </w:rPr>
            </w:pPr>
            <w:r>
              <w:rPr>
                <w:rFonts w:hint="eastAsia" w:ascii="宋体" w:hAnsi="宋体"/>
              </w:rPr>
              <w:t>企业地址</w:t>
            </w:r>
          </w:p>
        </w:tc>
        <w:tc>
          <w:tcPr>
            <w:tcW w:w="3260" w:type="dxa"/>
            <w:gridSpan w:val="8"/>
          </w:tcPr>
          <w:p>
            <w:pPr>
              <w:rPr>
                <w:rFonts w:ascii="宋体" w:hAnsi="宋体"/>
              </w:rPr>
            </w:pPr>
          </w:p>
        </w:tc>
        <w:tc>
          <w:tcPr>
            <w:tcW w:w="1701" w:type="dxa"/>
            <w:gridSpan w:val="5"/>
          </w:tcPr>
          <w:p>
            <w:pPr>
              <w:rPr>
                <w:rFonts w:ascii="宋体" w:hAnsi="宋体"/>
              </w:rPr>
            </w:pPr>
            <w:r>
              <w:rPr>
                <w:rFonts w:ascii="宋体" w:hAnsi="宋体"/>
              </w:rPr>
              <w:tab/>
            </w:r>
          </w:p>
        </w:tc>
        <w:tc>
          <w:tcPr>
            <w:tcW w:w="1957" w:type="dxa"/>
            <w:gridSpan w:val="4"/>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b/>
              </w:rPr>
            </w:pPr>
            <w:r>
              <w:rPr>
                <w:rFonts w:hint="eastAsia" w:ascii="宋体" w:hAnsi="宋体"/>
                <w:b/>
              </w:rPr>
              <w:t>二、质量教育和培训服务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rPr>
            </w:pPr>
            <w:r>
              <w:rPr>
                <w:rFonts w:hint="eastAsia" w:ascii="宋体" w:hAnsi="宋体"/>
              </w:rPr>
              <w:t xml:space="preserve">口质量培训         口标准培训         口计量培训           口检验检测培训  </w:t>
            </w:r>
          </w:p>
          <w:p>
            <w:pPr>
              <w:rPr>
                <w:rFonts w:ascii="宋体" w:hAnsi="宋体"/>
              </w:rPr>
            </w:pPr>
            <w:r>
              <w:rPr>
                <w:rFonts w:hint="eastAsia" w:ascii="宋体" w:hAnsi="宋体"/>
              </w:rPr>
              <w:t>口特种设备培训     口知识产权培训     口市场准入培训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b/>
              </w:rPr>
            </w:pPr>
            <w:r>
              <w:rPr>
                <w:rFonts w:hint="eastAsia" w:ascii="宋体" w:hAnsi="宋体"/>
                <w:b/>
              </w:rPr>
              <w:t>三、质量管理服务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rPr>
            </w:pPr>
            <w:r>
              <w:rPr>
                <w:rFonts w:hint="eastAsia" w:ascii="宋体" w:hAnsi="宋体"/>
              </w:rPr>
              <w:t>口质量体检诊断  口5S 现场管理咨询 口QC小组  口质量标杆企业申报、质量信用等级评定咨询口质量管理咨询  口产品质量召回     口品牌建设咨询  口质量奖项申报咨询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b/>
              </w:rPr>
            </w:pPr>
            <w:r>
              <w:rPr>
                <w:rFonts w:hint="eastAsia" w:ascii="宋体" w:hAnsi="宋体"/>
                <w:b/>
              </w:rPr>
              <w:t>四、标准化服务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rPr>
            </w:pPr>
            <w:r>
              <w:rPr>
                <w:rFonts w:hint="eastAsia" w:ascii="宋体" w:hAnsi="宋体"/>
              </w:rPr>
              <w:t>1、企业产品执行标准情况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rPr>
                <w:rFonts w:ascii="宋体" w:hAnsi="宋体"/>
              </w:rPr>
            </w:pPr>
            <w:r>
              <w:rPr>
                <w:rFonts w:hint="eastAsia" w:ascii="宋体" w:hAnsi="宋体"/>
              </w:rPr>
              <w:t>序号</w:t>
            </w:r>
          </w:p>
        </w:tc>
        <w:tc>
          <w:tcPr>
            <w:tcW w:w="1701" w:type="dxa"/>
            <w:gridSpan w:val="3"/>
          </w:tcPr>
          <w:p>
            <w:pPr>
              <w:rPr>
                <w:rFonts w:ascii="宋体" w:hAnsi="宋体"/>
              </w:rPr>
            </w:pPr>
            <w:r>
              <w:rPr>
                <w:rFonts w:hint="eastAsia" w:ascii="宋体" w:hAnsi="宋体"/>
              </w:rPr>
              <w:t>产品名称</w:t>
            </w:r>
          </w:p>
        </w:tc>
        <w:tc>
          <w:tcPr>
            <w:tcW w:w="2694" w:type="dxa"/>
            <w:gridSpan w:val="6"/>
          </w:tcPr>
          <w:p>
            <w:pPr>
              <w:rPr>
                <w:rFonts w:ascii="宋体" w:hAnsi="宋体"/>
              </w:rPr>
            </w:pPr>
            <w:r>
              <w:rPr>
                <w:rFonts w:hint="eastAsia" w:ascii="宋体" w:hAnsi="宋体"/>
              </w:rPr>
              <w:t>执行标准名称</w:t>
            </w:r>
          </w:p>
        </w:tc>
        <w:tc>
          <w:tcPr>
            <w:tcW w:w="1558" w:type="dxa"/>
            <w:gridSpan w:val="4"/>
          </w:tcPr>
          <w:p>
            <w:pPr>
              <w:rPr>
                <w:rFonts w:ascii="宋体" w:hAnsi="宋体"/>
              </w:rPr>
            </w:pPr>
            <w:r>
              <w:rPr>
                <w:rFonts w:hint="eastAsia" w:ascii="宋体" w:hAnsi="宋体"/>
              </w:rPr>
              <w:t>执行标准编号</w:t>
            </w:r>
          </w:p>
        </w:tc>
        <w:tc>
          <w:tcPr>
            <w:tcW w:w="1135" w:type="dxa"/>
            <w:gridSpan w:val="4"/>
          </w:tcPr>
          <w:p>
            <w:pPr>
              <w:rPr>
                <w:rFonts w:ascii="宋体" w:hAnsi="宋体"/>
              </w:rPr>
            </w:pPr>
            <w:r>
              <w:rPr>
                <w:rFonts w:hint="eastAsia" w:ascii="宋体" w:hAnsi="宋体"/>
              </w:rPr>
              <w:t>采标情况</w:t>
            </w:r>
          </w:p>
        </w:tc>
        <w:tc>
          <w:tcPr>
            <w:tcW w:w="1390" w:type="dxa"/>
            <w:gridSpan w:val="2"/>
          </w:tcPr>
          <w:p>
            <w:pPr>
              <w:rPr>
                <w:rFonts w:ascii="宋体" w:hAnsi="宋体"/>
              </w:rPr>
            </w:pPr>
            <w:r>
              <w:rPr>
                <w:rFonts w:hint="eastAsia" w:ascii="宋体" w:hAnsi="宋体"/>
              </w:rPr>
              <w:t>是否公示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rPr>
                <w:rFonts w:ascii="宋体" w:hAnsi="宋体"/>
              </w:rPr>
            </w:pPr>
            <w:r>
              <w:rPr>
                <w:rFonts w:hint="eastAsia" w:ascii="宋体" w:hAnsi="宋体"/>
              </w:rPr>
              <w:t>1</w:t>
            </w:r>
          </w:p>
        </w:tc>
        <w:tc>
          <w:tcPr>
            <w:tcW w:w="1701" w:type="dxa"/>
            <w:gridSpan w:val="3"/>
          </w:tcPr>
          <w:p>
            <w:pPr>
              <w:rPr>
                <w:rFonts w:ascii="宋体" w:hAnsi="宋体"/>
              </w:rPr>
            </w:pPr>
          </w:p>
        </w:tc>
        <w:tc>
          <w:tcPr>
            <w:tcW w:w="2694" w:type="dxa"/>
            <w:gridSpan w:val="6"/>
          </w:tcPr>
          <w:p>
            <w:pPr>
              <w:rPr>
                <w:rFonts w:ascii="宋体" w:hAnsi="宋体"/>
              </w:rPr>
            </w:pPr>
          </w:p>
        </w:tc>
        <w:tc>
          <w:tcPr>
            <w:tcW w:w="1558" w:type="dxa"/>
            <w:gridSpan w:val="4"/>
          </w:tcPr>
          <w:p>
            <w:pPr>
              <w:rPr>
                <w:rFonts w:ascii="宋体" w:hAnsi="宋体"/>
              </w:rPr>
            </w:pPr>
          </w:p>
        </w:tc>
        <w:tc>
          <w:tcPr>
            <w:tcW w:w="1135" w:type="dxa"/>
            <w:gridSpan w:val="4"/>
          </w:tcPr>
          <w:p>
            <w:pPr>
              <w:rPr>
                <w:rFonts w:ascii="宋体" w:hAnsi="宋体"/>
              </w:rPr>
            </w:pPr>
          </w:p>
        </w:tc>
        <w:tc>
          <w:tcPr>
            <w:tcW w:w="1390" w:type="dxa"/>
            <w:gridSpan w:val="2"/>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rPr>
                <w:rFonts w:ascii="宋体" w:hAnsi="宋体"/>
              </w:rPr>
            </w:pPr>
            <w:r>
              <w:rPr>
                <w:rFonts w:hint="eastAsia" w:ascii="宋体" w:hAnsi="宋体"/>
              </w:rPr>
              <w:t>2</w:t>
            </w:r>
          </w:p>
        </w:tc>
        <w:tc>
          <w:tcPr>
            <w:tcW w:w="1701" w:type="dxa"/>
            <w:gridSpan w:val="3"/>
          </w:tcPr>
          <w:p>
            <w:pPr>
              <w:rPr>
                <w:rFonts w:ascii="宋体" w:hAnsi="宋体"/>
              </w:rPr>
            </w:pPr>
          </w:p>
        </w:tc>
        <w:tc>
          <w:tcPr>
            <w:tcW w:w="2694" w:type="dxa"/>
            <w:gridSpan w:val="6"/>
          </w:tcPr>
          <w:p>
            <w:pPr>
              <w:rPr>
                <w:rFonts w:ascii="宋体" w:hAnsi="宋体"/>
              </w:rPr>
            </w:pPr>
          </w:p>
        </w:tc>
        <w:tc>
          <w:tcPr>
            <w:tcW w:w="1558" w:type="dxa"/>
            <w:gridSpan w:val="4"/>
          </w:tcPr>
          <w:p>
            <w:pPr>
              <w:rPr>
                <w:rFonts w:ascii="宋体" w:hAnsi="宋体"/>
              </w:rPr>
            </w:pPr>
          </w:p>
        </w:tc>
        <w:tc>
          <w:tcPr>
            <w:tcW w:w="1135" w:type="dxa"/>
            <w:gridSpan w:val="4"/>
          </w:tcPr>
          <w:p>
            <w:pPr>
              <w:rPr>
                <w:rFonts w:ascii="宋体" w:hAnsi="宋体"/>
              </w:rPr>
            </w:pPr>
          </w:p>
        </w:tc>
        <w:tc>
          <w:tcPr>
            <w:tcW w:w="1390" w:type="dxa"/>
            <w:gridSpan w:val="2"/>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tcPr>
          <w:p>
            <w:pPr>
              <w:rPr>
                <w:rFonts w:ascii="宋体" w:hAnsi="宋体"/>
              </w:rPr>
            </w:pPr>
            <w:r>
              <w:rPr>
                <w:rFonts w:hint="eastAsia" w:ascii="宋体" w:hAnsi="宋体"/>
              </w:rPr>
              <w:t>3</w:t>
            </w:r>
          </w:p>
        </w:tc>
        <w:tc>
          <w:tcPr>
            <w:tcW w:w="1701" w:type="dxa"/>
            <w:gridSpan w:val="3"/>
          </w:tcPr>
          <w:p>
            <w:pPr>
              <w:rPr>
                <w:rFonts w:ascii="宋体" w:hAnsi="宋体"/>
              </w:rPr>
            </w:pPr>
          </w:p>
        </w:tc>
        <w:tc>
          <w:tcPr>
            <w:tcW w:w="2694" w:type="dxa"/>
            <w:gridSpan w:val="6"/>
          </w:tcPr>
          <w:p>
            <w:pPr>
              <w:rPr>
                <w:rFonts w:ascii="宋体" w:hAnsi="宋体"/>
              </w:rPr>
            </w:pPr>
          </w:p>
        </w:tc>
        <w:tc>
          <w:tcPr>
            <w:tcW w:w="1558" w:type="dxa"/>
            <w:gridSpan w:val="4"/>
          </w:tcPr>
          <w:p>
            <w:pPr>
              <w:rPr>
                <w:rFonts w:ascii="宋体" w:hAnsi="宋体"/>
              </w:rPr>
            </w:pPr>
          </w:p>
        </w:tc>
        <w:tc>
          <w:tcPr>
            <w:tcW w:w="1135" w:type="dxa"/>
            <w:gridSpan w:val="4"/>
          </w:tcPr>
          <w:p>
            <w:pPr>
              <w:rPr>
                <w:rFonts w:ascii="宋体" w:hAnsi="宋体"/>
              </w:rPr>
            </w:pPr>
          </w:p>
        </w:tc>
        <w:tc>
          <w:tcPr>
            <w:tcW w:w="1390" w:type="dxa"/>
            <w:gridSpan w:val="2"/>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rPr>
            </w:pPr>
            <w:r>
              <w:rPr>
                <w:rFonts w:hint="eastAsia" w:ascii="宋体" w:hAnsi="宋体"/>
              </w:rPr>
              <w:t>2、企业标准化需求情况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rPr>
            </w:pPr>
            <w:r>
              <w:rPr>
                <w:rFonts w:hint="eastAsia" w:ascii="宋体" w:hAnsi="宋体"/>
              </w:rPr>
              <w:t>口标准查询 口标准奖励政策申报 口采用国际标准咨询 口标准化良好行为申报口标准制修订服务</w:t>
            </w:r>
          </w:p>
          <w:p>
            <w:pPr>
              <w:rPr>
                <w:rFonts w:ascii="宋体" w:hAnsi="宋体"/>
              </w:rPr>
            </w:pPr>
            <w:r>
              <w:rPr>
                <w:rFonts w:hint="eastAsia" w:ascii="宋体" w:hAnsi="宋体"/>
              </w:rPr>
              <w:t>口企业执行标准（团体标准）公示 口企业执行标准指导 口标准化试点示范项目创建服务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b/>
              </w:rPr>
            </w:pPr>
            <w:r>
              <w:rPr>
                <w:rFonts w:hint="eastAsia" w:ascii="宋体" w:hAnsi="宋体"/>
                <w:b/>
              </w:rPr>
              <w:t>五、计量服务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tcPr>
          <w:p>
            <w:pPr>
              <w:rPr>
                <w:rFonts w:ascii="宋体" w:hAnsi="宋体"/>
              </w:rPr>
            </w:pPr>
            <w:r>
              <w:rPr>
                <w:rFonts w:hint="eastAsia" w:ascii="宋体" w:hAnsi="宋体"/>
              </w:rPr>
              <w:t>1、企业计量器具情况（可另附页）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序号</w:t>
            </w:r>
          </w:p>
        </w:tc>
        <w:tc>
          <w:tcPr>
            <w:tcW w:w="1218" w:type="dxa"/>
            <w:vAlign w:val="center"/>
          </w:tcPr>
          <w:p>
            <w:pPr>
              <w:jc w:val="center"/>
              <w:rPr>
                <w:rFonts w:ascii="宋体" w:hAnsi="宋体"/>
              </w:rPr>
            </w:pPr>
            <w:r>
              <w:rPr>
                <w:rFonts w:hint="eastAsia" w:ascii="宋体" w:hAnsi="宋体"/>
              </w:rPr>
              <w:t>计量器</w:t>
            </w:r>
          </w:p>
          <w:p>
            <w:pPr>
              <w:jc w:val="center"/>
              <w:rPr>
                <w:rFonts w:ascii="宋体" w:hAnsi="宋体"/>
              </w:rPr>
            </w:pPr>
            <w:r>
              <w:rPr>
                <w:rFonts w:hint="eastAsia" w:ascii="宋体" w:hAnsi="宋体"/>
              </w:rPr>
              <w:t>具名称</w:t>
            </w:r>
          </w:p>
        </w:tc>
        <w:tc>
          <w:tcPr>
            <w:tcW w:w="767" w:type="dxa"/>
            <w:gridSpan w:val="3"/>
            <w:vAlign w:val="center"/>
          </w:tcPr>
          <w:p>
            <w:pPr>
              <w:jc w:val="center"/>
              <w:rPr>
                <w:rFonts w:ascii="宋体" w:hAnsi="宋体"/>
              </w:rPr>
            </w:pPr>
            <w:r>
              <w:rPr>
                <w:rFonts w:hint="eastAsia" w:ascii="宋体" w:hAnsi="宋体"/>
              </w:rPr>
              <w:t>测量</w:t>
            </w:r>
          </w:p>
          <w:p>
            <w:pPr>
              <w:jc w:val="center"/>
              <w:rPr>
                <w:rFonts w:ascii="宋体" w:hAnsi="宋体"/>
              </w:rPr>
            </w:pPr>
            <w:r>
              <w:rPr>
                <w:rFonts w:hint="eastAsia" w:ascii="宋体" w:hAnsi="宋体"/>
              </w:rPr>
              <w:t>范围</w:t>
            </w:r>
          </w:p>
        </w:tc>
        <w:tc>
          <w:tcPr>
            <w:tcW w:w="1127" w:type="dxa"/>
            <w:gridSpan w:val="3"/>
            <w:vAlign w:val="center"/>
          </w:tcPr>
          <w:p>
            <w:pPr>
              <w:jc w:val="center"/>
              <w:rPr>
                <w:rFonts w:ascii="宋体" w:hAnsi="宋体"/>
              </w:rPr>
            </w:pPr>
            <w:r>
              <w:rPr>
                <w:rFonts w:hint="eastAsia" w:ascii="宋体" w:hAnsi="宋体"/>
              </w:rPr>
              <w:t>准确度</w:t>
            </w:r>
          </w:p>
          <w:p>
            <w:pPr>
              <w:jc w:val="center"/>
              <w:rPr>
                <w:rFonts w:ascii="宋体" w:hAnsi="宋体"/>
              </w:rPr>
            </w:pPr>
            <w:r>
              <w:rPr>
                <w:rFonts w:ascii="宋体" w:hAnsi="宋体"/>
              </w:rPr>
              <w:t>等级</w:t>
            </w:r>
          </w:p>
        </w:tc>
        <w:tc>
          <w:tcPr>
            <w:tcW w:w="947" w:type="dxa"/>
            <w:vAlign w:val="center"/>
          </w:tcPr>
          <w:p>
            <w:pPr>
              <w:jc w:val="center"/>
              <w:rPr>
                <w:rFonts w:ascii="宋体" w:hAnsi="宋体"/>
              </w:rPr>
            </w:pPr>
            <w:r>
              <w:rPr>
                <w:rFonts w:hint="eastAsia" w:ascii="宋体" w:hAnsi="宋体"/>
              </w:rPr>
              <w:t>出厂</w:t>
            </w:r>
          </w:p>
          <w:p>
            <w:pPr>
              <w:jc w:val="center"/>
              <w:rPr>
                <w:rFonts w:ascii="宋体" w:hAnsi="宋体"/>
              </w:rPr>
            </w:pPr>
            <w:r>
              <w:rPr>
                <w:rFonts w:hint="eastAsia" w:ascii="宋体" w:hAnsi="宋体"/>
              </w:rPr>
              <w:t>编号</w:t>
            </w:r>
          </w:p>
        </w:tc>
        <w:tc>
          <w:tcPr>
            <w:tcW w:w="947" w:type="dxa"/>
            <w:gridSpan w:val="3"/>
            <w:vAlign w:val="center"/>
          </w:tcPr>
          <w:p>
            <w:pPr>
              <w:jc w:val="center"/>
              <w:rPr>
                <w:rFonts w:ascii="宋体" w:hAnsi="宋体"/>
              </w:rPr>
            </w:pPr>
            <w:r>
              <w:rPr>
                <w:rFonts w:hint="eastAsia" w:ascii="宋体" w:hAnsi="宋体"/>
              </w:rPr>
              <w:t>器具</w:t>
            </w:r>
          </w:p>
          <w:p>
            <w:pPr>
              <w:jc w:val="center"/>
              <w:rPr>
                <w:rFonts w:ascii="宋体" w:hAnsi="宋体"/>
              </w:rPr>
            </w:pPr>
            <w:r>
              <w:rPr>
                <w:rFonts w:hint="eastAsia" w:ascii="宋体" w:hAnsi="宋体"/>
              </w:rPr>
              <w:t>用途</w:t>
            </w:r>
          </w:p>
        </w:tc>
        <w:tc>
          <w:tcPr>
            <w:tcW w:w="664" w:type="dxa"/>
            <w:vAlign w:val="center"/>
          </w:tcPr>
          <w:p>
            <w:pPr>
              <w:jc w:val="center"/>
              <w:rPr>
                <w:rFonts w:ascii="宋体" w:hAnsi="宋体"/>
              </w:rPr>
            </w:pPr>
            <w:r>
              <w:rPr>
                <w:rFonts w:hint="eastAsia" w:ascii="宋体" w:hAnsi="宋体"/>
              </w:rPr>
              <w:t>溯源方式</w:t>
            </w:r>
          </w:p>
        </w:tc>
        <w:tc>
          <w:tcPr>
            <w:tcW w:w="1560" w:type="dxa"/>
            <w:gridSpan w:val="6"/>
            <w:vAlign w:val="center"/>
          </w:tcPr>
          <w:p>
            <w:pPr>
              <w:jc w:val="center"/>
              <w:rPr>
                <w:rFonts w:ascii="宋体" w:hAnsi="宋体"/>
              </w:rPr>
            </w:pPr>
            <w:r>
              <w:rPr>
                <w:rFonts w:hint="eastAsia" w:ascii="宋体" w:hAnsi="宋体"/>
              </w:rPr>
              <w:t>上次溯源机构名称及日期</w:t>
            </w:r>
          </w:p>
        </w:tc>
        <w:tc>
          <w:tcPr>
            <w:tcW w:w="1248" w:type="dxa"/>
            <w:vAlign w:val="center"/>
          </w:tcPr>
          <w:p>
            <w:pPr>
              <w:jc w:val="center"/>
              <w:rPr>
                <w:rFonts w:ascii="宋体" w:hAnsi="宋体"/>
              </w:rPr>
            </w:pPr>
            <w:r>
              <w:rPr>
                <w:rFonts w:hint="eastAsia" w:ascii="宋体" w:hAnsi="宋体"/>
              </w:rPr>
              <w:t>有效期至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1</w:t>
            </w:r>
          </w:p>
        </w:tc>
        <w:tc>
          <w:tcPr>
            <w:tcW w:w="1218" w:type="dxa"/>
            <w:vAlign w:val="center"/>
          </w:tcPr>
          <w:p>
            <w:pPr>
              <w:jc w:val="center"/>
              <w:rPr>
                <w:rFonts w:ascii="宋体" w:hAnsi="宋体"/>
              </w:rPr>
            </w:pPr>
          </w:p>
        </w:tc>
        <w:tc>
          <w:tcPr>
            <w:tcW w:w="767" w:type="dxa"/>
            <w:gridSpan w:val="3"/>
            <w:vAlign w:val="center"/>
          </w:tcPr>
          <w:p>
            <w:pPr>
              <w:jc w:val="center"/>
              <w:rPr>
                <w:rFonts w:ascii="宋体" w:hAnsi="宋体"/>
              </w:rPr>
            </w:pPr>
          </w:p>
        </w:tc>
        <w:tc>
          <w:tcPr>
            <w:tcW w:w="1127" w:type="dxa"/>
            <w:gridSpan w:val="3"/>
            <w:vAlign w:val="center"/>
          </w:tcPr>
          <w:p>
            <w:pPr>
              <w:jc w:val="center"/>
              <w:rPr>
                <w:rFonts w:ascii="宋体" w:hAnsi="宋体"/>
              </w:rPr>
            </w:pPr>
          </w:p>
        </w:tc>
        <w:tc>
          <w:tcPr>
            <w:tcW w:w="947" w:type="dxa"/>
            <w:vAlign w:val="center"/>
          </w:tcPr>
          <w:p>
            <w:pPr>
              <w:jc w:val="center"/>
              <w:rPr>
                <w:rFonts w:ascii="宋体" w:hAnsi="宋体"/>
              </w:rPr>
            </w:pPr>
          </w:p>
        </w:tc>
        <w:tc>
          <w:tcPr>
            <w:tcW w:w="947" w:type="dxa"/>
            <w:gridSpan w:val="3"/>
            <w:vAlign w:val="center"/>
          </w:tcPr>
          <w:p>
            <w:pPr>
              <w:jc w:val="center"/>
              <w:rPr>
                <w:rFonts w:ascii="宋体" w:hAnsi="宋体"/>
              </w:rPr>
            </w:pPr>
          </w:p>
        </w:tc>
        <w:tc>
          <w:tcPr>
            <w:tcW w:w="664" w:type="dxa"/>
            <w:vAlign w:val="center"/>
          </w:tcPr>
          <w:p>
            <w:pPr>
              <w:jc w:val="center"/>
              <w:rPr>
                <w:rFonts w:ascii="宋体" w:hAnsi="宋体"/>
              </w:rPr>
            </w:pPr>
          </w:p>
        </w:tc>
        <w:tc>
          <w:tcPr>
            <w:tcW w:w="1560" w:type="dxa"/>
            <w:gridSpan w:val="6"/>
            <w:vAlign w:val="center"/>
          </w:tcPr>
          <w:p>
            <w:pPr>
              <w:jc w:val="center"/>
              <w:rPr>
                <w:rFonts w:ascii="宋体" w:hAnsi="宋体"/>
              </w:rPr>
            </w:pPr>
          </w:p>
        </w:tc>
        <w:tc>
          <w:tcPr>
            <w:tcW w:w="1248"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2</w:t>
            </w:r>
          </w:p>
        </w:tc>
        <w:tc>
          <w:tcPr>
            <w:tcW w:w="1218" w:type="dxa"/>
            <w:vAlign w:val="center"/>
          </w:tcPr>
          <w:p>
            <w:pPr>
              <w:jc w:val="center"/>
              <w:rPr>
                <w:rFonts w:ascii="宋体" w:hAnsi="宋体"/>
              </w:rPr>
            </w:pPr>
          </w:p>
        </w:tc>
        <w:tc>
          <w:tcPr>
            <w:tcW w:w="767" w:type="dxa"/>
            <w:gridSpan w:val="3"/>
            <w:vAlign w:val="center"/>
          </w:tcPr>
          <w:p>
            <w:pPr>
              <w:jc w:val="center"/>
              <w:rPr>
                <w:rFonts w:ascii="宋体" w:hAnsi="宋体"/>
              </w:rPr>
            </w:pPr>
          </w:p>
        </w:tc>
        <w:tc>
          <w:tcPr>
            <w:tcW w:w="1127" w:type="dxa"/>
            <w:gridSpan w:val="3"/>
            <w:vAlign w:val="center"/>
          </w:tcPr>
          <w:p>
            <w:pPr>
              <w:jc w:val="center"/>
              <w:rPr>
                <w:rFonts w:ascii="宋体" w:hAnsi="宋体"/>
              </w:rPr>
            </w:pPr>
          </w:p>
        </w:tc>
        <w:tc>
          <w:tcPr>
            <w:tcW w:w="947" w:type="dxa"/>
            <w:vAlign w:val="center"/>
          </w:tcPr>
          <w:p>
            <w:pPr>
              <w:jc w:val="center"/>
              <w:rPr>
                <w:rFonts w:ascii="宋体" w:hAnsi="宋体"/>
              </w:rPr>
            </w:pPr>
          </w:p>
        </w:tc>
        <w:tc>
          <w:tcPr>
            <w:tcW w:w="947" w:type="dxa"/>
            <w:gridSpan w:val="3"/>
            <w:vAlign w:val="center"/>
          </w:tcPr>
          <w:p>
            <w:pPr>
              <w:jc w:val="center"/>
              <w:rPr>
                <w:rFonts w:ascii="宋体" w:hAnsi="宋体"/>
              </w:rPr>
            </w:pPr>
          </w:p>
        </w:tc>
        <w:tc>
          <w:tcPr>
            <w:tcW w:w="664" w:type="dxa"/>
            <w:vAlign w:val="center"/>
          </w:tcPr>
          <w:p>
            <w:pPr>
              <w:jc w:val="center"/>
              <w:rPr>
                <w:rFonts w:ascii="宋体" w:hAnsi="宋体"/>
              </w:rPr>
            </w:pPr>
          </w:p>
        </w:tc>
        <w:tc>
          <w:tcPr>
            <w:tcW w:w="1560" w:type="dxa"/>
            <w:gridSpan w:val="6"/>
            <w:vAlign w:val="center"/>
          </w:tcPr>
          <w:p>
            <w:pPr>
              <w:jc w:val="center"/>
              <w:rPr>
                <w:rFonts w:ascii="宋体" w:hAnsi="宋体"/>
              </w:rPr>
            </w:pPr>
          </w:p>
        </w:tc>
        <w:tc>
          <w:tcPr>
            <w:tcW w:w="1248"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3</w:t>
            </w:r>
          </w:p>
        </w:tc>
        <w:tc>
          <w:tcPr>
            <w:tcW w:w="1218" w:type="dxa"/>
            <w:vAlign w:val="center"/>
          </w:tcPr>
          <w:p>
            <w:pPr>
              <w:jc w:val="center"/>
              <w:rPr>
                <w:rFonts w:ascii="宋体" w:hAnsi="宋体"/>
              </w:rPr>
            </w:pPr>
          </w:p>
        </w:tc>
        <w:tc>
          <w:tcPr>
            <w:tcW w:w="767" w:type="dxa"/>
            <w:gridSpan w:val="3"/>
            <w:vAlign w:val="center"/>
          </w:tcPr>
          <w:p>
            <w:pPr>
              <w:jc w:val="center"/>
              <w:rPr>
                <w:rFonts w:ascii="宋体" w:hAnsi="宋体"/>
              </w:rPr>
            </w:pPr>
          </w:p>
        </w:tc>
        <w:tc>
          <w:tcPr>
            <w:tcW w:w="1127" w:type="dxa"/>
            <w:gridSpan w:val="3"/>
            <w:vAlign w:val="center"/>
          </w:tcPr>
          <w:p>
            <w:pPr>
              <w:jc w:val="center"/>
              <w:rPr>
                <w:rFonts w:ascii="宋体" w:hAnsi="宋体"/>
              </w:rPr>
            </w:pPr>
          </w:p>
        </w:tc>
        <w:tc>
          <w:tcPr>
            <w:tcW w:w="947" w:type="dxa"/>
            <w:vAlign w:val="center"/>
          </w:tcPr>
          <w:p>
            <w:pPr>
              <w:jc w:val="center"/>
              <w:rPr>
                <w:rFonts w:ascii="宋体" w:hAnsi="宋体"/>
              </w:rPr>
            </w:pPr>
          </w:p>
        </w:tc>
        <w:tc>
          <w:tcPr>
            <w:tcW w:w="947" w:type="dxa"/>
            <w:gridSpan w:val="3"/>
            <w:vAlign w:val="center"/>
          </w:tcPr>
          <w:p>
            <w:pPr>
              <w:jc w:val="center"/>
              <w:rPr>
                <w:rFonts w:ascii="宋体" w:hAnsi="宋体"/>
              </w:rPr>
            </w:pPr>
          </w:p>
        </w:tc>
        <w:tc>
          <w:tcPr>
            <w:tcW w:w="664" w:type="dxa"/>
            <w:vAlign w:val="center"/>
          </w:tcPr>
          <w:p>
            <w:pPr>
              <w:jc w:val="center"/>
              <w:rPr>
                <w:rFonts w:ascii="宋体" w:hAnsi="宋体"/>
              </w:rPr>
            </w:pPr>
          </w:p>
        </w:tc>
        <w:tc>
          <w:tcPr>
            <w:tcW w:w="1560" w:type="dxa"/>
            <w:gridSpan w:val="6"/>
            <w:vAlign w:val="center"/>
          </w:tcPr>
          <w:p>
            <w:pPr>
              <w:jc w:val="center"/>
              <w:rPr>
                <w:rFonts w:ascii="宋体" w:hAnsi="宋体"/>
              </w:rPr>
            </w:pPr>
          </w:p>
        </w:tc>
        <w:tc>
          <w:tcPr>
            <w:tcW w:w="1248" w:type="dxa"/>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2、企业计量需求情况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口建立健全计量管理制度  口计器具台账建立   口分类管理强检与非强检计量器具</w:t>
            </w:r>
          </w:p>
          <w:p>
            <w:pPr>
              <w:rPr>
                <w:rFonts w:ascii="宋体" w:hAnsi="宋体"/>
              </w:rPr>
            </w:pPr>
            <w:r>
              <w:rPr>
                <w:rFonts w:hint="eastAsia" w:ascii="宋体" w:hAnsi="宋体"/>
              </w:rPr>
              <w:t>口计量器具溯源途径      口计量检定、校准   口建立计量标准   口开展量值传递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b/>
              </w:rPr>
            </w:pPr>
            <w:r>
              <w:rPr>
                <w:rFonts w:hint="eastAsia" w:ascii="宋体" w:hAnsi="宋体"/>
                <w:b/>
              </w:rPr>
              <w:t>六、产品检验检测服务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1、产品信息（可另附页）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rFonts w:ascii="宋体" w:hAnsi="宋体"/>
              </w:rPr>
            </w:pPr>
            <w:r>
              <w:rPr>
                <w:rFonts w:hint="eastAsia" w:ascii="宋体" w:hAnsi="宋体"/>
              </w:rPr>
              <w:t>序号</w:t>
            </w:r>
          </w:p>
        </w:tc>
        <w:tc>
          <w:tcPr>
            <w:tcW w:w="2694" w:type="dxa"/>
            <w:gridSpan w:val="5"/>
            <w:vAlign w:val="center"/>
          </w:tcPr>
          <w:p>
            <w:pPr>
              <w:jc w:val="center"/>
              <w:rPr>
                <w:rFonts w:ascii="宋体" w:hAnsi="宋体"/>
              </w:rPr>
            </w:pPr>
            <w:r>
              <w:rPr>
                <w:rFonts w:hint="eastAsia" w:ascii="宋体" w:hAnsi="宋体"/>
              </w:rPr>
              <w:t>产品名称</w:t>
            </w:r>
          </w:p>
        </w:tc>
        <w:tc>
          <w:tcPr>
            <w:tcW w:w="3969" w:type="dxa"/>
            <w:gridSpan w:val="11"/>
            <w:vAlign w:val="center"/>
          </w:tcPr>
          <w:p>
            <w:pPr>
              <w:ind w:firstLine="1680" w:firstLineChars="800"/>
              <w:rPr>
                <w:rFonts w:ascii="宋体" w:hAnsi="宋体"/>
              </w:rPr>
            </w:pPr>
            <w:r>
              <w:rPr>
                <w:rFonts w:hint="eastAsia" w:ascii="宋体" w:hAnsi="宋体"/>
              </w:rPr>
              <w:t>执行标准</w:t>
            </w:r>
          </w:p>
        </w:tc>
        <w:tc>
          <w:tcPr>
            <w:tcW w:w="1815" w:type="dxa"/>
            <w:gridSpan w:val="3"/>
            <w:vAlign w:val="center"/>
          </w:tcPr>
          <w:p>
            <w:pPr>
              <w:ind w:firstLine="840" w:firstLineChars="40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1</w:t>
            </w:r>
          </w:p>
        </w:tc>
        <w:tc>
          <w:tcPr>
            <w:tcW w:w="2694" w:type="dxa"/>
            <w:gridSpan w:val="5"/>
            <w:vAlign w:val="center"/>
          </w:tcPr>
          <w:p>
            <w:pPr>
              <w:jc w:val="center"/>
              <w:rPr>
                <w:rFonts w:ascii="宋体" w:hAnsi="宋体"/>
              </w:rPr>
            </w:pPr>
          </w:p>
        </w:tc>
        <w:tc>
          <w:tcPr>
            <w:tcW w:w="3969" w:type="dxa"/>
            <w:gridSpan w:val="11"/>
            <w:vAlign w:val="center"/>
          </w:tcPr>
          <w:p>
            <w:pPr>
              <w:jc w:val="center"/>
              <w:rPr>
                <w:rFonts w:ascii="宋体" w:hAnsi="宋体"/>
              </w:rPr>
            </w:pPr>
          </w:p>
        </w:tc>
        <w:tc>
          <w:tcPr>
            <w:tcW w:w="1815" w:type="dxa"/>
            <w:gridSpan w:val="3"/>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2</w:t>
            </w:r>
          </w:p>
        </w:tc>
        <w:tc>
          <w:tcPr>
            <w:tcW w:w="2694" w:type="dxa"/>
            <w:gridSpan w:val="5"/>
            <w:vAlign w:val="center"/>
          </w:tcPr>
          <w:p>
            <w:pPr>
              <w:jc w:val="center"/>
              <w:rPr>
                <w:rFonts w:ascii="宋体" w:hAnsi="宋体"/>
              </w:rPr>
            </w:pPr>
          </w:p>
        </w:tc>
        <w:tc>
          <w:tcPr>
            <w:tcW w:w="3969" w:type="dxa"/>
            <w:gridSpan w:val="11"/>
            <w:vAlign w:val="center"/>
          </w:tcPr>
          <w:p>
            <w:pPr>
              <w:jc w:val="center"/>
              <w:rPr>
                <w:rFonts w:ascii="宋体" w:hAnsi="宋体"/>
              </w:rPr>
            </w:pPr>
          </w:p>
        </w:tc>
        <w:tc>
          <w:tcPr>
            <w:tcW w:w="1815" w:type="dxa"/>
            <w:gridSpan w:val="3"/>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3</w:t>
            </w:r>
          </w:p>
        </w:tc>
        <w:tc>
          <w:tcPr>
            <w:tcW w:w="2694" w:type="dxa"/>
            <w:gridSpan w:val="5"/>
            <w:vAlign w:val="center"/>
          </w:tcPr>
          <w:p>
            <w:pPr>
              <w:jc w:val="center"/>
              <w:rPr>
                <w:rFonts w:ascii="宋体" w:hAnsi="宋体"/>
              </w:rPr>
            </w:pPr>
          </w:p>
        </w:tc>
        <w:tc>
          <w:tcPr>
            <w:tcW w:w="3969" w:type="dxa"/>
            <w:gridSpan w:val="11"/>
            <w:vAlign w:val="center"/>
          </w:tcPr>
          <w:p>
            <w:pPr>
              <w:jc w:val="center"/>
              <w:rPr>
                <w:rFonts w:ascii="宋体" w:hAnsi="宋体"/>
              </w:rPr>
            </w:pPr>
          </w:p>
        </w:tc>
        <w:tc>
          <w:tcPr>
            <w:tcW w:w="1815" w:type="dxa"/>
            <w:gridSpan w:val="3"/>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jc w:val="center"/>
              <w:rPr>
                <w:rFonts w:ascii="宋体" w:hAnsi="宋体"/>
              </w:rPr>
            </w:pPr>
            <w:r>
              <w:rPr>
                <w:rFonts w:hint="eastAsia" w:ascii="宋体" w:hAnsi="宋体"/>
              </w:rPr>
              <w:t>4</w:t>
            </w:r>
          </w:p>
        </w:tc>
        <w:tc>
          <w:tcPr>
            <w:tcW w:w="2694" w:type="dxa"/>
            <w:gridSpan w:val="5"/>
            <w:vAlign w:val="center"/>
          </w:tcPr>
          <w:p>
            <w:pPr>
              <w:jc w:val="center"/>
              <w:rPr>
                <w:rFonts w:ascii="宋体" w:hAnsi="宋体"/>
              </w:rPr>
            </w:pPr>
          </w:p>
        </w:tc>
        <w:tc>
          <w:tcPr>
            <w:tcW w:w="3969" w:type="dxa"/>
            <w:gridSpan w:val="11"/>
            <w:vAlign w:val="center"/>
          </w:tcPr>
          <w:p>
            <w:pPr>
              <w:jc w:val="center"/>
              <w:rPr>
                <w:rFonts w:ascii="宋体" w:hAnsi="宋体"/>
              </w:rPr>
            </w:pPr>
          </w:p>
        </w:tc>
        <w:tc>
          <w:tcPr>
            <w:tcW w:w="1815" w:type="dxa"/>
            <w:gridSpan w:val="3"/>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2、企业产品检验检测需求情况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口产品检验检测      口技术指导      口产品质量检验检测机构查询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b/>
              </w:rPr>
            </w:pPr>
            <w:r>
              <w:rPr>
                <w:rFonts w:hint="eastAsia" w:ascii="宋体" w:hAnsi="宋体"/>
                <w:b/>
              </w:rPr>
              <w:t>七、特种设备服务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1、企业特种设备情况（可另附页）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rFonts w:ascii="宋体" w:hAnsi="宋体"/>
              </w:rPr>
            </w:pPr>
            <w:r>
              <w:rPr>
                <w:rFonts w:hint="eastAsia" w:ascii="宋体" w:hAnsi="宋体"/>
              </w:rPr>
              <w:t>序号</w:t>
            </w:r>
          </w:p>
        </w:tc>
        <w:tc>
          <w:tcPr>
            <w:tcW w:w="1701" w:type="dxa"/>
            <w:gridSpan w:val="3"/>
            <w:vAlign w:val="center"/>
          </w:tcPr>
          <w:p>
            <w:pPr>
              <w:rPr>
                <w:rFonts w:ascii="宋体" w:hAnsi="宋体"/>
              </w:rPr>
            </w:pPr>
            <w:r>
              <w:rPr>
                <w:rFonts w:hint="eastAsia" w:ascii="宋体" w:hAnsi="宋体"/>
              </w:rPr>
              <w:t>特种设备类别</w:t>
            </w:r>
          </w:p>
        </w:tc>
        <w:tc>
          <w:tcPr>
            <w:tcW w:w="1276" w:type="dxa"/>
            <w:gridSpan w:val="3"/>
            <w:vAlign w:val="center"/>
          </w:tcPr>
          <w:p>
            <w:pPr>
              <w:rPr>
                <w:rFonts w:ascii="宋体" w:hAnsi="宋体"/>
              </w:rPr>
            </w:pPr>
            <w:r>
              <w:rPr>
                <w:rFonts w:hint="eastAsia" w:ascii="宋体" w:hAnsi="宋体"/>
              </w:rPr>
              <w:t>设备数量</w:t>
            </w:r>
          </w:p>
        </w:tc>
        <w:tc>
          <w:tcPr>
            <w:tcW w:w="3119" w:type="dxa"/>
            <w:gridSpan w:val="8"/>
            <w:vAlign w:val="center"/>
          </w:tcPr>
          <w:p>
            <w:pPr>
              <w:ind w:firstLine="630" w:firstLineChars="300"/>
              <w:rPr>
                <w:rFonts w:ascii="宋体" w:hAnsi="宋体"/>
              </w:rPr>
            </w:pPr>
            <w:r>
              <w:rPr>
                <w:rFonts w:hint="eastAsia" w:ascii="宋体" w:hAnsi="宋体"/>
              </w:rPr>
              <w:t>有效期至</w:t>
            </w:r>
          </w:p>
        </w:tc>
        <w:tc>
          <w:tcPr>
            <w:tcW w:w="2382" w:type="dxa"/>
            <w:gridSpan w:val="5"/>
            <w:vAlign w:val="center"/>
          </w:tcPr>
          <w:p>
            <w:pPr>
              <w:ind w:firstLine="1050" w:firstLineChars="500"/>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rFonts w:ascii="宋体" w:hAnsi="宋体"/>
              </w:rPr>
            </w:pPr>
            <w:r>
              <w:rPr>
                <w:rFonts w:hint="eastAsia" w:ascii="宋体" w:hAnsi="宋体"/>
              </w:rPr>
              <w:t>1</w:t>
            </w:r>
          </w:p>
        </w:tc>
        <w:tc>
          <w:tcPr>
            <w:tcW w:w="1701" w:type="dxa"/>
            <w:gridSpan w:val="3"/>
            <w:vAlign w:val="center"/>
          </w:tcPr>
          <w:p>
            <w:pPr>
              <w:jc w:val="center"/>
              <w:rPr>
                <w:rFonts w:ascii="宋体" w:hAnsi="宋体"/>
              </w:rPr>
            </w:pPr>
          </w:p>
        </w:tc>
        <w:tc>
          <w:tcPr>
            <w:tcW w:w="1276" w:type="dxa"/>
            <w:gridSpan w:val="3"/>
            <w:vAlign w:val="center"/>
          </w:tcPr>
          <w:p>
            <w:pPr>
              <w:jc w:val="center"/>
              <w:rPr>
                <w:rFonts w:ascii="宋体" w:hAnsi="宋体"/>
              </w:rPr>
            </w:pPr>
          </w:p>
        </w:tc>
        <w:tc>
          <w:tcPr>
            <w:tcW w:w="3119" w:type="dxa"/>
            <w:gridSpan w:val="8"/>
            <w:vAlign w:val="center"/>
          </w:tcPr>
          <w:p>
            <w:pPr>
              <w:jc w:val="center"/>
              <w:rPr>
                <w:rFonts w:ascii="宋体" w:hAnsi="宋体"/>
              </w:rPr>
            </w:pPr>
          </w:p>
        </w:tc>
        <w:tc>
          <w:tcPr>
            <w:tcW w:w="2382" w:type="dxa"/>
            <w:gridSpan w:val="5"/>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rFonts w:ascii="宋体" w:hAnsi="宋体"/>
              </w:rPr>
            </w:pPr>
            <w:r>
              <w:rPr>
                <w:rFonts w:hint="eastAsia" w:ascii="宋体" w:hAnsi="宋体"/>
              </w:rPr>
              <w:t>2</w:t>
            </w:r>
          </w:p>
        </w:tc>
        <w:tc>
          <w:tcPr>
            <w:tcW w:w="1701" w:type="dxa"/>
            <w:gridSpan w:val="3"/>
            <w:vAlign w:val="center"/>
          </w:tcPr>
          <w:p>
            <w:pPr>
              <w:jc w:val="center"/>
              <w:rPr>
                <w:rFonts w:ascii="宋体" w:hAnsi="宋体"/>
              </w:rPr>
            </w:pPr>
          </w:p>
        </w:tc>
        <w:tc>
          <w:tcPr>
            <w:tcW w:w="1276" w:type="dxa"/>
            <w:gridSpan w:val="3"/>
            <w:vAlign w:val="center"/>
          </w:tcPr>
          <w:p>
            <w:pPr>
              <w:jc w:val="center"/>
              <w:rPr>
                <w:rFonts w:ascii="宋体" w:hAnsi="宋体"/>
              </w:rPr>
            </w:pPr>
          </w:p>
        </w:tc>
        <w:tc>
          <w:tcPr>
            <w:tcW w:w="3119" w:type="dxa"/>
            <w:gridSpan w:val="8"/>
            <w:vAlign w:val="center"/>
          </w:tcPr>
          <w:p>
            <w:pPr>
              <w:jc w:val="center"/>
              <w:rPr>
                <w:rFonts w:ascii="宋体" w:hAnsi="宋体"/>
              </w:rPr>
            </w:pPr>
          </w:p>
        </w:tc>
        <w:tc>
          <w:tcPr>
            <w:tcW w:w="2382" w:type="dxa"/>
            <w:gridSpan w:val="5"/>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75" w:type="dxa"/>
            <w:vAlign w:val="center"/>
          </w:tcPr>
          <w:p>
            <w:pPr>
              <w:rPr>
                <w:rFonts w:ascii="宋体" w:hAnsi="宋体"/>
              </w:rPr>
            </w:pPr>
            <w:r>
              <w:rPr>
                <w:rFonts w:hint="eastAsia" w:ascii="宋体" w:hAnsi="宋体"/>
              </w:rPr>
              <w:t>3</w:t>
            </w:r>
          </w:p>
        </w:tc>
        <w:tc>
          <w:tcPr>
            <w:tcW w:w="1701" w:type="dxa"/>
            <w:gridSpan w:val="3"/>
            <w:vAlign w:val="center"/>
          </w:tcPr>
          <w:p>
            <w:pPr>
              <w:jc w:val="center"/>
              <w:rPr>
                <w:rFonts w:ascii="宋体" w:hAnsi="宋体"/>
              </w:rPr>
            </w:pPr>
          </w:p>
        </w:tc>
        <w:tc>
          <w:tcPr>
            <w:tcW w:w="1276" w:type="dxa"/>
            <w:gridSpan w:val="3"/>
            <w:vAlign w:val="center"/>
          </w:tcPr>
          <w:p>
            <w:pPr>
              <w:jc w:val="center"/>
              <w:rPr>
                <w:rFonts w:ascii="宋体" w:hAnsi="宋体"/>
              </w:rPr>
            </w:pPr>
          </w:p>
        </w:tc>
        <w:tc>
          <w:tcPr>
            <w:tcW w:w="3119" w:type="dxa"/>
            <w:gridSpan w:val="8"/>
            <w:vAlign w:val="center"/>
          </w:tcPr>
          <w:p>
            <w:pPr>
              <w:jc w:val="center"/>
              <w:rPr>
                <w:rFonts w:ascii="宋体" w:hAnsi="宋体"/>
              </w:rPr>
            </w:pPr>
          </w:p>
        </w:tc>
        <w:tc>
          <w:tcPr>
            <w:tcW w:w="2382" w:type="dxa"/>
            <w:gridSpan w:val="5"/>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2、企业特种设备服务需求情况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 xml:space="preserve">口产品监督检验     口定期检验            口安装、改造和重大修理监督检验     </w:t>
            </w:r>
          </w:p>
          <w:p>
            <w:pPr>
              <w:rPr>
                <w:rFonts w:ascii="宋体" w:hAnsi="宋体"/>
              </w:rPr>
            </w:pPr>
            <w:r>
              <w:rPr>
                <w:rFonts w:hint="eastAsia" w:ascii="宋体" w:hAnsi="宋体"/>
              </w:rPr>
              <w:t>口使用登记         口作业人员资格许可    口安全和节能管理制度、操作规程、应急预案建立</w:t>
            </w:r>
          </w:p>
          <w:p>
            <w:pPr>
              <w:rPr>
                <w:rFonts w:ascii="宋体" w:hAnsi="宋体"/>
              </w:rPr>
            </w:pPr>
            <w:r>
              <w:rPr>
                <w:rFonts w:hint="eastAsia" w:ascii="宋体" w:hAnsi="宋体"/>
              </w:rPr>
              <w:t>口隐患排查         口电梯维保单位备案    口锅炉能效检验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b/>
              </w:rPr>
            </w:pPr>
            <w:r>
              <w:rPr>
                <w:rFonts w:hint="eastAsia" w:ascii="宋体" w:hAnsi="宋体"/>
                <w:b/>
              </w:rPr>
              <w:t>八、认证认可服务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口强制性产品认证咨询    口自愿性产品认证咨询      口认证机构及其认证范围查询</w:t>
            </w:r>
          </w:p>
          <w:p>
            <w:pPr>
              <w:rPr>
                <w:rFonts w:ascii="宋体" w:hAnsi="宋体"/>
              </w:rPr>
            </w:pPr>
            <w:r>
              <w:rPr>
                <w:rFonts w:hint="eastAsia" w:ascii="宋体" w:hAnsi="宋体"/>
              </w:rPr>
              <w:t>口认证奖励政策申报      口获得资质认定证书的检验检测机构名录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b/>
              </w:rPr>
            </w:pPr>
            <w:r>
              <w:rPr>
                <w:rFonts w:hint="eastAsia" w:ascii="宋体" w:hAnsi="宋体"/>
                <w:b/>
              </w:rPr>
              <w:t>九、知识产权服务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口商标注册咨询服务    口专利申请咨询服务          口地理标志产品、商标咨询服务</w:t>
            </w:r>
          </w:p>
          <w:p>
            <w:pPr>
              <w:rPr>
                <w:rFonts w:ascii="宋体" w:hAnsi="宋体"/>
              </w:rPr>
            </w:pPr>
            <w:r>
              <w:rPr>
                <w:rFonts w:hint="eastAsia" w:ascii="宋体" w:hAnsi="宋体"/>
              </w:rPr>
              <w:t xml:space="preserve">口知识产权维权服务    口知识产权奖励政策申报      口知识产权优势企业创建服务  </w:t>
            </w:r>
          </w:p>
          <w:p>
            <w:pPr>
              <w:rPr>
                <w:rFonts w:ascii="宋体" w:hAnsi="宋体"/>
              </w:rPr>
            </w:pPr>
            <w:r>
              <w:rPr>
                <w:rFonts w:hint="eastAsia" w:ascii="宋体" w:hAnsi="宋体"/>
              </w:rPr>
              <w:t>口专利金奖申报服务    口知识产权贯标企业申报服务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b/>
              </w:rPr>
              <w:t>十、市场准入服务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r>
              <w:rPr>
                <w:rFonts w:hint="eastAsia" w:ascii="宋体" w:hAnsi="宋体"/>
              </w:rPr>
              <w:t>口市场主体设立变更注销服务  口企业档案查询服务   口股权变更、质押登记服务  口其他</w:t>
            </w:r>
          </w:p>
          <w:p>
            <w:pPr>
              <w:rPr>
                <w:rFonts w:ascii="宋体" w:hAnsi="宋体"/>
              </w:rPr>
            </w:pPr>
            <w:r>
              <w:rPr>
                <w:rFonts w:hint="eastAsia" w:ascii="宋体" w:hAnsi="宋体"/>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b/>
              </w:rPr>
            </w:pPr>
            <w:r>
              <w:rPr>
                <w:rFonts w:hint="eastAsia" w:ascii="宋体" w:hAnsi="宋体"/>
                <w:b/>
              </w:rPr>
              <w:t>十一、其他服务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53" w:type="dxa"/>
            <w:gridSpan w:val="20"/>
            <w:vAlign w:val="center"/>
          </w:tcPr>
          <w:p>
            <w:pPr>
              <w:rPr>
                <w:rFonts w:ascii="宋体" w:hAnsi="宋体"/>
                <w:b/>
              </w:rPr>
            </w:pPr>
            <w:r>
              <w:rPr>
                <w:rFonts w:hint="eastAsia" w:ascii="宋体" w:hAnsi="宋体"/>
                <w:b/>
              </w:rPr>
              <w:t>十二、意见和建议</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4830" w:firstLineChars="2300"/>
              <w:rPr>
                <w:rFonts w:ascii="宋体" w:hAnsi="宋体"/>
              </w:rPr>
            </w:pPr>
            <w:r>
              <w:rPr>
                <w:rFonts w:hint="eastAsia" w:ascii="宋体" w:hAnsi="宋体"/>
              </w:rPr>
              <w:t>企业负责人（委托人）:</w:t>
            </w:r>
          </w:p>
          <w:p>
            <w:pPr>
              <w:ind w:firstLine="4830" w:firstLineChars="2300"/>
              <w:rPr>
                <w:rFonts w:ascii="宋体" w:hAnsi="宋体"/>
              </w:rPr>
            </w:pPr>
          </w:p>
          <w:p>
            <w:pPr>
              <w:ind w:firstLine="7245" w:firstLineChars="3450"/>
              <w:rPr>
                <w:rFonts w:ascii="宋体" w:hAnsi="宋体"/>
              </w:rPr>
            </w:pPr>
            <w:r>
              <w:rPr>
                <w:rFonts w:hint="eastAsia" w:ascii="宋体" w:hAnsi="宋体"/>
              </w:rPr>
              <w:t>年   月    日</w:t>
            </w:r>
          </w:p>
        </w:tc>
      </w:tr>
    </w:tbl>
    <w:p>
      <w:pPr>
        <w:pStyle w:val="57"/>
        <w:ind w:firstLine="422"/>
      </w:pPr>
      <w:r>
        <w:rPr>
          <w:rFonts w:ascii="黑体" w:hAnsi="黑体" w:eastAsia="黑体"/>
          <w:b/>
        </w:rPr>
        <w:br w:type="page"/>
      </w:r>
    </w:p>
    <w:p>
      <w:pPr>
        <w:widowControl/>
        <w:shd w:val="clear" w:color="FFFFFF" w:fill="FFFFFF"/>
        <w:tabs>
          <w:tab w:val="left" w:pos="6406"/>
        </w:tabs>
        <w:adjustRightInd/>
        <w:spacing w:before="78" w:beforeLines="25" w:after="156" w:afterLines="50" w:line="240" w:lineRule="auto"/>
        <w:jc w:val="center"/>
        <w:outlineLvl w:val="0"/>
        <w:rPr>
          <w:rFonts w:ascii="黑体" w:hAnsi="Times New Roman" w:eastAsia="黑体"/>
          <w:kern w:val="0"/>
          <w:szCs w:val="20"/>
        </w:rPr>
      </w:pPr>
      <w:r>
        <w:rPr>
          <w:rFonts w:hint="eastAsia" w:ascii="黑体" w:hAnsi="Times New Roman" w:eastAsia="黑体"/>
          <w:kern w:val="0"/>
          <w:szCs w:val="20"/>
        </w:rPr>
        <w:t>附录</w:t>
      </w:r>
      <w:r>
        <w:rPr>
          <w:rFonts w:ascii="黑体" w:hAnsi="Times New Roman" w:eastAsia="黑体"/>
          <w:kern w:val="0"/>
          <w:szCs w:val="20"/>
        </w:rPr>
        <w:t>E</w:t>
      </w:r>
      <w:r>
        <w:rPr>
          <w:rFonts w:ascii="黑体" w:hAnsi="Times New Roman" w:eastAsia="黑体"/>
          <w:kern w:val="0"/>
          <w:szCs w:val="20"/>
        </w:rPr>
        <w:br w:type="textWrapping"/>
      </w:r>
      <w:r>
        <w:rPr>
          <w:rFonts w:hint="eastAsia" w:ascii="黑体" w:hAnsi="Times New Roman" w:eastAsia="黑体"/>
          <w:kern w:val="0"/>
          <w:szCs w:val="20"/>
        </w:rPr>
        <w:t>（资料性）</w:t>
      </w:r>
      <w:r>
        <w:rPr>
          <w:rFonts w:ascii="黑体" w:hAnsi="Times New Roman" w:eastAsia="黑体"/>
          <w:kern w:val="0"/>
          <w:szCs w:val="20"/>
        </w:rPr>
        <w:br w:type="textWrapping"/>
      </w:r>
      <w:r>
        <w:rPr>
          <w:rFonts w:hint="eastAsia" w:ascii="黑体" w:hAnsi="Times New Roman" w:eastAsia="黑体"/>
          <w:kern w:val="0"/>
          <w:szCs w:val="20"/>
        </w:rPr>
        <w:t>“464”服务高质量发展行动记录表</w:t>
      </w:r>
    </w:p>
    <w:p>
      <w:pPr>
        <w:jc w:val="center"/>
        <w:rPr>
          <w:rFonts w:ascii="宋体" w:hAnsi="宋体"/>
          <w:b/>
        </w:rPr>
      </w:pPr>
      <w:r>
        <w:rPr>
          <w:rFonts w:hint="eastAsia" w:ascii="宋体" w:hAnsi="宋体"/>
          <w:b/>
        </w:rPr>
        <w:t>表</w:t>
      </w:r>
      <w:r>
        <w:rPr>
          <w:rFonts w:ascii="宋体" w:hAnsi="宋体"/>
          <w:b/>
        </w:rPr>
        <w:t>E</w:t>
      </w:r>
      <w:r>
        <w:rPr>
          <w:rFonts w:hint="eastAsia" w:ascii="宋体" w:hAnsi="宋体"/>
          <w:b/>
        </w:rPr>
        <w:t>.1</w:t>
      </w:r>
      <w:r>
        <w:rPr>
          <w:rFonts w:ascii="宋体" w:hAnsi="宋体"/>
          <w:b/>
        </w:rPr>
        <w:t xml:space="preserve"> </w:t>
      </w:r>
      <w:r>
        <w:rPr>
          <w:rFonts w:hint="eastAsia" w:ascii="黑体" w:hAnsi="黑体" w:eastAsia="黑体"/>
          <w:b/>
        </w:rPr>
        <w:t>“464”服务高质量发展行动</w:t>
      </w:r>
      <w:r>
        <w:rPr>
          <w:rFonts w:hint="eastAsia" w:ascii="宋体" w:hAnsi="宋体"/>
          <w:b/>
        </w:rPr>
        <w:t>记录表</w:t>
      </w:r>
    </w:p>
    <w:tbl>
      <w:tblPr>
        <w:tblStyle w:val="27"/>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38"/>
        <w:gridCol w:w="1425"/>
        <w:gridCol w:w="1799"/>
        <w:gridCol w:w="1036"/>
        <w:gridCol w:w="1658"/>
        <w:gridCol w:w="155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09" w:hRule="atLeast"/>
          <w:jc w:val="center"/>
        </w:trPr>
        <w:tc>
          <w:tcPr>
            <w:tcW w:w="1738" w:type="dxa"/>
            <w:vAlign w:val="center"/>
          </w:tcPr>
          <w:p>
            <w:pPr>
              <w:jc w:val="center"/>
              <w:rPr>
                <w:rFonts w:ascii="宋体" w:hAnsi="宋体"/>
              </w:rPr>
            </w:pPr>
            <w:r>
              <w:rPr>
                <w:rFonts w:hint="eastAsia" w:ascii="宋体" w:hAnsi="宋体"/>
              </w:rPr>
              <w:t>企业名称</w:t>
            </w:r>
          </w:p>
        </w:tc>
        <w:tc>
          <w:tcPr>
            <w:tcW w:w="7477" w:type="dxa"/>
            <w:gridSpan w:val="5"/>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6" w:hRule="atLeast"/>
          <w:jc w:val="center"/>
        </w:trPr>
        <w:tc>
          <w:tcPr>
            <w:tcW w:w="1738" w:type="dxa"/>
            <w:vAlign w:val="center"/>
          </w:tcPr>
          <w:p>
            <w:pPr>
              <w:jc w:val="center"/>
              <w:rPr>
                <w:rFonts w:ascii="宋体" w:hAnsi="宋体"/>
              </w:rPr>
            </w:pPr>
            <w:r>
              <w:rPr>
                <w:rFonts w:hint="eastAsia" w:ascii="宋体" w:hAnsi="宋体"/>
              </w:rPr>
              <w:t>联系人</w:t>
            </w:r>
          </w:p>
        </w:tc>
        <w:tc>
          <w:tcPr>
            <w:tcW w:w="1425" w:type="dxa"/>
            <w:vAlign w:val="center"/>
          </w:tcPr>
          <w:p>
            <w:pPr>
              <w:jc w:val="center"/>
              <w:rPr>
                <w:rFonts w:ascii="宋体" w:hAnsi="宋体"/>
              </w:rPr>
            </w:pPr>
          </w:p>
        </w:tc>
        <w:tc>
          <w:tcPr>
            <w:tcW w:w="1799" w:type="dxa"/>
            <w:vAlign w:val="center"/>
          </w:tcPr>
          <w:p>
            <w:pPr>
              <w:jc w:val="center"/>
              <w:rPr>
                <w:rFonts w:ascii="宋体" w:hAnsi="宋体"/>
              </w:rPr>
            </w:pPr>
            <w:r>
              <w:rPr>
                <w:rFonts w:hint="eastAsia" w:ascii="宋体" w:hAnsi="宋体"/>
              </w:rPr>
              <w:t>联系电话</w:t>
            </w:r>
          </w:p>
        </w:tc>
        <w:tc>
          <w:tcPr>
            <w:tcW w:w="4253" w:type="dxa"/>
            <w:gridSpan w:val="3"/>
            <w:vAlign w:val="center"/>
          </w:tcPr>
          <w:p>
            <w:pPr>
              <w:jc w:val="cente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38" w:type="dxa"/>
            <w:vAlign w:val="center"/>
          </w:tcPr>
          <w:p>
            <w:pPr>
              <w:rPr>
                <w:rFonts w:ascii="宋体" w:hAnsi="宋体"/>
              </w:rPr>
            </w:pPr>
            <w:r>
              <w:rPr>
                <w:rFonts w:hint="eastAsia" w:ascii="宋体" w:hAnsi="宋体"/>
              </w:rPr>
              <w:t>请求发起时间</w:t>
            </w:r>
          </w:p>
        </w:tc>
        <w:tc>
          <w:tcPr>
            <w:tcW w:w="1425" w:type="dxa"/>
          </w:tcPr>
          <w:p>
            <w:pPr>
              <w:rPr>
                <w:rFonts w:ascii="宋体" w:hAnsi="宋体"/>
              </w:rPr>
            </w:pPr>
          </w:p>
        </w:tc>
        <w:tc>
          <w:tcPr>
            <w:tcW w:w="1799" w:type="dxa"/>
          </w:tcPr>
          <w:p>
            <w:pPr>
              <w:rPr>
                <w:rFonts w:ascii="宋体" w:hAnsi="宋体"/>
              </w:rPr>
            </w:pPr>
            <w:r>
              <w:rPr>
                <w:rFonts w:hint="eastAsia" w:ascii="宋体" w:hAnsi="宋体"/>
              </w:rPr>
              <w:t>质量工作站人员</w:t>
            </w:r>
          </w:p>
        </w:tc>
        <w:tc>
          <w:tcPr>
            <w:tcW w:w="1036" w:type="dxa"/>
          </w:tcPr>
          <w:p>
            <w:pPr>
              <w:rPr>
                <w:rFonts w:ascii="宋体" w:hAnsi="宋体"/>
              </w:rPr>
            </w:pPr>
          </w:p>
        </w:tc>
        <w:tc>
          <w:tcPr>
            <w:tcW w:w="1658" w:type="dxa"/>
          </w:tcPr>
          <w:p>
            <w:pPr>
              <w:rPr>
                <w:rFonts w:ascii="宋体" w:hAnsi="宋体"/>
              </w:rPr>
            </w:pPr>
            <w:r>
              <w:rPr>
                <w:rFonts w:hint="eastAsia" w:ascii="宋体" w:hAnsi="宋体"/>
              </w:rPr>
              <w:t>接收要求时间</w:t>
            </w:r>
          </w:p>
        </w:tc>
        <w:tc>
          <w:tcPr>
            <w:tcW w:w="1559"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1738" w:type="dxa"/>
            <w:vAlign w:val="center"/>
          </w:tcPr>
          <w:p>
            <w:pPr>
              <w:rPr>
                <w:rFonts w:ascii="宋体" w:hAnsi="宋体"/>
              </w:rPr>
            </w:pPr>
            <w:r>
              <w:rPr>
                <w:rFonts w:hint="eastAsia" w:ascii="宋体" w:hAnsi="宋体"/>
              </w:rPr>
              <w:t>收到答复时间</w:t>
            </w:r>
          </w:p>
        </w:tc>
        <w:tc>
          <w:tcPr>
            <w:tcW w:w="1425" w:type="dxa"/>
          </w:tcPr>
          <w:p>
            <w:pPr>
              <w:rPr>
                <w:rFonts w:ascii="宋体" w:hAnsi="宋体"/>
              </w:rPr>
            </w:pPr>
          </w:p>
        </w:tc>
        <w:tc>
          <w:tcPr>
            <w:tcW w:w="1799" w:type="dxa"/>
          </w:tcPr>
          <w:p>
            <w:pPr>
              <w:rPr>
                <w:rFonts w:ascii="宋体" w:hAnsi="宋体"/>
              </w:rPr>
            </w:pPr>
            <w:r>
              <w:rPr>
                <w:rFonts w:hint="eastAsia" w:ascii="宋体" w:hAnsi="宋体"/>
              </w:rPr>
              <w:t>现场处理时间</w:t>
            </w:r>
          </w:p>
        </w:tc>
        <w:tc>
          <w:tcPr>
            <w:tcW w:w="1036" w:type="dxa"/>
          </w:tcPr>
          <w:p>
            <w:pPr>
              <w:rPr>
                <w:rFonts w:ascii="宋体" w:hAnsi="宋体"/>
              </w:rPr>
            </w:pPr>
          </w:p>
        </w:tc>
        <w:tc>
          <w:tcPr>
            <w:tcW w:w="1658" w:type="dxa"/>
          </w:tcPr>
          <w:p>
            <w:pPr>
              <w:rPr>
                <w:rFonts w:ascii="宋体" w:hAnsi="宋体"/>
              </w:rPr>
            </w:pPr>
            <w:r>
              <w:rPr>
                <w:rFonts w:hint="eastAsia" w:ascii="宋体" w:hAnsi="宋体"/>
              </w:rPr>
              <w:t>服务结束时间</w:t>
            </w:r>
          </w:p>
        </w:tc>
        <w:tc>
          <w:tcPr>
            <w:tcW w:w="1559" w:type="dxa"/>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63" w:type="dxa"/>
            <w:gridSpan w:val="2"/>
            <w:vAlign w:val="center"/>
          </w:tcPr>
          <w:p>
            <w:pPr>
              <w:jc w:val="center"/>
              <w:rPr>
                <w:rFonts w:ascii="宋体" w:hAnsi="宋体"/>
              </w:rPr>
            </w:pPr>
            <w:r>
              <w:rPr>
                <w:rFonts w:hint="eastAsia" w:ascii="宋体" w:hAnsi="宋体"/>
              </w:rPr>
              <w:t>企业申请服务内容</w:t>
            </w:r>
          </w:p>
        </w:tc>
        <w:tc>
          <w:tcPr>
            <w:tcW w:w="6052" w:type="dxa"/>
            <w:gridSpan w:val="4"/>
          </w:tcPr>
          <w:p>
            <w:pPr>
              <w:rPr>
                <w:rFonts w:ascii="宋体" w:hAnsi="宋体"/>
              </w:rPr>
            </w:pPr>
            <w:r>
              <w:rPr>
                <w:rFonts w:hint="eastAsia" w:ascii="宋体" w:hAnsi="宋体"/>
              </w:rPr>
              <w:t xml:space="preserve">服务类别： </w:t>
            </w:r>
          </w:p>
          <w:p>
            <w:pPr>
              <w:rPr>
                <w:rFonts w:ascii="宋体" w:hAnsi="宋体"/>
              </w:rPr>
            </w:pPr>
            <w:r>
              <w:rPr>
                <w:rFonts w:hint="eastAsia" w:ascii="宋体" w:hAnsi="宋体"/>
              </w:rPr>
              <w:t>口质量教育培训服务  口质量管理服务       口标准化服务</w:t>
            </w:r>
          </w:p>
          <w:p>
            <w:pPr>
              <w:rPr>
                <w:rFonts w:ascii="宋体" w:hAnsi="宋体"/>
              </w:rPr>
            </w:pPr>
            <w:r>
              <w:rPr>
                <w:rFonts w:hint="eastAsia" w:ascii="宋体" w:hAnsi="宋体"/>
              </w:rPr>
              <w:t>口计量服务          口产品检验检测服务   口特种设备服务</w:t>
            </w:r>
          </w:p>
          <w:p>
            <w:pPr>
              <w:rPr>
                <w:rFonts w:ascii="宋体" w:hAnsi="宋体"/>
              </w:rPr>
            </w:pPr>
            <w:r>
              <w:rPr>
                <w:rFonts w:hint="eastAsia" w:ascii="宋体" w:hAnsi="宋体"/>
              </w:rPr>
              <w:t>口认证认可服务      口知识产权服务       口市场准入服务</w:t>
            </w:r>
          </w:p>
          <w:p>
            <w:pPr>
              <w:rPr>
                <w:rFonts w:ascii="宋体" w:hAnsi="宋体"/>
              </w:rPr>
            </w:pPr>
            <w:r>
              <w:rPr>
                <w:rFonts w:hint="eastAsia" w:ascii="宋体" w:hAnsi="宋体"/>
              </w:rPr>
              <w:t>口其他服务</w:t>
            </w:r>
          </w:p>
          <w:p>
            <w:pPr>
              <w:rPr>
                <w:rFonts w:ascii="宋体" w:hAnsi="宋体"/>
              </w:rPr>
            </w:pPr>
            <w:r>
              <w:rPr>
                <w:rFonts w:hint="eastAsia" w:ascii="宋体" w:hAnsi="宋体"/>
              </w:rPr>
              <w:t>具体要求：</w:t>
            </w:r>
          </w:p>
          <w:p>
            <w:pPr>
              <w:rPr>
                <w:rFonts w:ascii="宋体" w:hAnsi="宋体"/>
              </w:rPr>
            </w:pPr>
          </w:p>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63" w:type="dxa"/>
            <w:gridSpan w:val="2"/>
          </w:tcPr>
          <w:p>
            <w:pPr>
              <w:rPr>
                <w:rFonts w:ascii="宋体" w:hAnsi="宋体"/>
              </w:rPr>
            </w:pPr>
            <w:r>
              <w:rPr>
                <w:rFonts w:hint="eastAsia" w:ascii="宋体" w:hAnsi="宋体"/>
              </w:rPr>
              <w:t>质量服务机构</w:t>
            </w:r>
          </w:p>
        </w:tc>
        <w:tc>
          <w:tcPr>
            <w:tcW w:w="6052" w:type="dxa"/>
            <w:gridSpan w:val="4"/>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63" w:type="dxa"/>
            <w:gridSpan w:val="2"/>
          </w:tcPr>
          <w:p>
            <w:pPr>
              <w:rPr>
                <w:rFonts w:ascii="宋体" w:hAnsi="宋体"/>
              </w:rPr>
            </w:pPr>
            <w:r>
              <w:rPr>
                <w:rFonts w:hint="eastAsia" w:ascii="宋体" w:hAnsi="宋体"/>
              </w:rPr>
              <w:t>技术服务人员</w:t>
            </w:r>
          </w:p>
        </w:tc>
        <w:tc>
          <w:tcPr>
            <w:tcW w:w="6052" w:type="dxa"/>
            <w:gridSpan w:val="4"/>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63" w:type="dxa"/>
            <w:gridSpan w:val="2"/>
          </w:tcPr>
          <w:p>
            <w:pPr>
              <w:rPr>
                <w:rFonts w:ascii="宋体" w:hAnsi="宋体"/>
              </w:rPr>
            </w:pPr>
            <w:r>
              <w:rPr>
                <w:rFonts w:hint="eastAsia" w:ascii="宋体" w:hAnsi="宋体"/>
              </w:rPr>
              <w:t>技术服务项目及预计技术服务时间</w:t>
            </w:r>
          </w:p>
        </w:tc>
        <w:tc>
          <w:tcPr>
            <w:tcW w:w="6052" w:type="dxa"/>
            <w:gridSpan w:val="4"/>
          </w:tcPr>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3163" w:type="dxa"/>
            <w:gridSpan w:val="2"/>
            <w:vAlign w:val="center"/>
          </w:tcPr>
          <w:p>
            <w:pPr>
              <w:rPr>
                <w:rFonts w:ascii="宋体" w:hAnsi="宋体"/>
              </w:rPr>
            </w:pPr>
            <w:r>
              <w:rPr>
                <w:rFonts w:hint="eastAsia" w:ascii="宋体" w:hAnsi="宋体"/>
              </w:rPr>
              <w:t>技术服务解决过程</w:t>
            </w:r>
          </w:p>
        </w:tc>
        <w:tc>
          <w:tcPr>
            <w:tcW w:w="6052" w:type="dxa"/>
            <w:gridSpan w:val="4"/>
          </w:tcPr>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9215" w:type="dxa"/>
            <w:gridSpan w:val="6"/>
          </w:tcPr>
          <w:p>
            <w:pPr>
              <w:ind w:firstLine="3570" w:firstLineChars="1700"/>
              <w:rPr>
                <w:rFonts w:ascii="宋体" w:hAnsi="宋体"/>
              </w:rPr>
            </w:pPr>
            <w:r>
              <w:rPr>
                <w:rFonts w:hint="eastAsia" w:ascii="宋体" w:hAnsi="宋体"/>
              </w:rPr>
              <w:t>服务满意度评价</w:t>
            </w:r>
          </w:p>
          <w:p>
            <w:pPr>
              <w:rPr>
                <w:rFonts w:ascii="宋体" w:hAnsi="宋体"/>
              </w:rPr>
            </w:pPr>
            <w:r>
              <w:rPr>
                <w:rFonts w:hint="eastAsia" w:ascii="宋体" w:hAnsi="宋体"/>
              </w:rPr>
              <w:t>尊敬的企业：</w:t>
            </w:r>
          </w:p>
          <w:p>
            <w:pPr>
              <w:rPr>
                <w:rFonts w:ascii="宋体" w:hAnsi="宋体"/>
              </w:rPr>
            </w:pPr>
            <w:r>
              <w:rPr>
                <w:rFonts w:hint="eastAsia" w:ascii="宋体" w:hAnsi="宋体"/>
              </w:rPr>
              <w:t>1.您对本次工作站的服务的满意程度      ☆☆☆☆☆</w:t>
            </w:r>
          </w:p>
          <w:p>
            <w:pPr>
              <w:rPr>
                <w:rFonts w:ascii="宋体" w:hAnsi="宋体"/>
              </w:rPr>
            </w:pPr>
            <w:r>
              <w:rPr>
                <w:rFonts w:hint="eastAsia" w:ascii="宋体" w:hAnsi="宋体"/>
              </w:rPr>
              <w:t>2.您对本次工作站的及时性的满意程度    ☆☆☆☆☆</w:t>
            </w:r>
          </w:p>
          <w:p>
            <w:pPr>
              <w:rPr>
                <w:rFonts w:ascii="宋体" w:hAnsi="宋体"/>
              </w:rPr>
            </w:pPr>
            <w:r>
              <w:rPr>
                <w:rFonts w:hint="eastAsia" w:ascii="宋体" w:hAnsi="宋体"/>
              </w:rPr>
              <w:t>3.您对本次工作站的专业性的满意程度    ☆☆☆☆☆</w:t>
            </w:r>
          </w:p>
          <w:p>
            <w:pPr>
              <w:rPr>
                <w:rFonts w:ascii="宋体" w:hAnsi="宋体"/>
              </w:rPr>
            </w:pPr>
            <w:r>
              <w:rPr>
                <w:rFonts w:hint="eastAsia" w:ascii="宋体" w:hAnsi="宋体"/>
              </w:rPr>
              <w:t>4.您对本次工作站的文明性的满意程度    ☆☆☆☆☆</w:t>
            </w:r>
          </w:p>
          <w:p>
            <w:pPr>
              <w:rPr>
                <w:rFonts w:ascii="宋体" w:hAnsi="宋体"/>
              </w:rPr>
            </w:pPr>
            <w:r>
              <w:rPr>
                <w:rFonts w:hint="eastAsia" w:ascii="宋体" w:hAnsi="宋体"/>
              </w:rPr>
              <w:t>5.您的问题是否得到了解决              口是         口否</w:t>
            </w:r>
          </w:p>
          <w:p>
            <w:pPr>
              <w:rPr>
                <w:rFonts w:ascii="宋体" w:hAnsi="宋体"/>
              </w:rPr>
            </w:pPr>
            <w:r>
              <w:rPr>
                <w:rFonts w:hint="eastAsia" w:ascii="宋体" w:hAnsi="宋体"/>
              </w:rPr>
              <w:t>6.您对本次服务的技术人员的专业性的满意程度     ☆合☆☆☆</w:t>
            </w:r>
          </w:p>
          <w:p>
            <w:pPr>
              <w:rPr>
                <w:rFonts w:ascii="宋体" w:hAnsi="宋体"/>
              </w:rPr>
            </w:pPr>
            <w:r>
              <w:rPr>
                <w:rFonts w:hint="eastAsia" w:ascii="宋体" w:hAnsi="宋体"/>
              </w:rPr>
              <w:t>7.您对本次服务的技术人员的及时性的满意程度     ☆☆☆☆☆</w:t>
            </w:r>
          </w:p>
          <w:p>
            <w:pPr>
              <w:rPr>
                <w:rFonts w:ascii="宋体" w:hAnsi="宋体"/>
              </w:rPr>
            </w:pPr>
            <w:r>
              <w:rPr>
                <w:rFonts w:hint="eastAsia" w:ascii="宋体" w:hAnsi="宋体"/>
              </w:rPr>
              <w:t>8.您对本次服务的技术人员的文明性的满意程度     ☆☆☆☆☆</w:t>
            </w:r>
          </w:p>
          <w:p>
            <w:pPr>
              <w:rPr>
                <w:rFonts w:ascii="宋体" w:hAnsi="宋体"/>
              </w:rPr>
            </w:pPr>
            <w:r>
              <w:rPr>
                <w:rFonts w:hint="eastAsia" w:ascii="宋体" w:hAnsi="宋体"/>
              </w:rPr>
              <w:t>9.您对本次服务的技术设施的满意程度             ☆☆☆☆☆</w:t>
            </w:r>
          </w:p>
          <w:p>
            <w:pPr>
              <w:rPr>
                <w:rFonts w:ascii="宋体" w:hAnsi="宋体"/>
              </w:rPr>
            </w:pPr>
            <w:r>
              <w:rPr>
                <w:rFonts w:hint="eastAsia" w:ascii="宋体" w:hAnsi="宋体"/>
              </w:rPr>
              <w:t>10.您对本次服务总体评价：   口非常满意    口满意      口一般   口不满意</w:t>
            </w:r>
          </w:p>
          <w:p>
            <w:pPr>
              <w:rPr>
                <w:rFonts w:ascii="宋体" w:hAnsi="宋体"/>
              </w:rPr>
            </w:pPr>
            <w:r>
              <w:rPr>
                <w:rFonts w:hint="eastAsia" w:ascii="宋体" w:hAnsi="宋体"/>
              </w:rPr>
              <w:t>您的意见或建议:</w:t>
            </w:r>
          </w:p>
          <w:p>
            <w:pPr>
              <w:rPr>
                <w:rFonts w:ascii="宋体" w:hAnsi="宋体"/>
              </w:rPr>
            </w:pPr>
          </w:p>
          <w:p>
            <w:pPr>
              <w:rPr>
                <w:rFonts w:ascii="宋体" w:hAnsi="宋体"/>
              </w:rPr>
            </w:pPr>
          </w:p>
          <w:p>
            <w:pPr>
              <w:ind w:firstLine="2940" w:firstLineChars="1400"/>
              <w:rPr>
                <w:rFonts w:ascii="宋体" w:hAnsi="宋体"/>
              </w:rPr>
            </w:pPr>
            <w:r>
              <w:rPr>
                <w:rFonts w:hint="eastAsia" w:ascii="宋体" w:hAnsi="宋体"/>
              </w:rPr>
              <w:t>企业负责人（委托人）:            日期：</w:t>
            </w:r>
          </w:p>
          <w:p>
            <w:pPr>
              <w:ind w:firstLine="2940" w:firstLineChars="1400"/>
              <w:rPr>
                <w:rFonts w:ascii="宋体" w:hAnsi="宋体"/>
              </w:rPr>
            </w:pPr>
            <w:r>
              <w:rPr>
                <w:rFonts w:hint="eastAsia" w:ascii="宋体" w:hAnsi="宋体"/>
              </w:rPr>
              <w:t>（签字或章章）</w:t>
            </w:r>
          </w:p>
        </w:tc>
      </w:tr>
    </w:tbl>
    <w:p>
      <w:pPr>
        <w:pStyle w:val="57"/>
        <w:ind w:firstLine="420"/>
      </w:pPr>
    </w:p>
    <w:p>
      <w:pPr>
        <w:pStyle w:val="57"/>
        <w:ind w:firstLine="420"/>
      </w:pPr>
    </w:p>
    <w:p>
      <w:pPr>
        <w:pStyle w:val="57"/>
        <w:ind w:firstLine="420"/>
      </w:pPr>
    </w:p>
    <w:bookmarkEnd w:id="24"/>
    <w:p>
      <w:pPr>
        <w:pStyle w:val="57"/>
        <w:ind w:firstLine="0" w:firstLineChars="0"/>
        <w:jc w:val="center"/>
      </w:pPr>
      <w:bookmarkStart w:id="80"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5">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80"/>
    </w:p>
    <w:sectPr>
      <w:pgSz w:w="11906" w:h="16838"/>
      <w:pgMar w:top="1928" w:right="1134" w:bottom="1134" w:left="1134" w:header="1418" w:footer="1134" w:gutter="284"/>
      <w:pgNumType w:start="1"/>
      <w:cols w:space="425" w:num="1"/>
      <w:formProt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script"/>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3"/>
    </w:pPr>
    <w:r>
      <w:fldChar w:fldCharType="begin"/>
    </w:r>
    <w:r>
      <w:instrText xml:space="preserve">PAGE   \* MERGEFORMAT</w:instrText>
    </w:r>
    <w:r>
      <w:fldChar w:fldCharType="separate"/>
    </w:r>
    <w:r>
      <w:rPr>
        <w:lang w:val="zh-CN"/>
      </w:rPr>
      <w:t>1</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2"/>
    </w:pPr>
    <w:r>
      <w:fldChar w:fldCharType="begin"/>
    </w:r>
    <w:r>
      <w:instrText xml:space="preserve"> STYLEREF  标准文件_文件编号  \* MERGEFORMAT </w:instrText>
    </w:r>
    <w:r>
      <w:fldChar w:fldCharType="separate"/>
    </w:r>
    <w:r>
      <w:t>DB 3413/T XXXX—XXXX</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3413/T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7933"/>
    <w:multiLevelType w:val="multilevel"/>
    <w:tmpl w:val="02837933"/>
    <w:lvl w:ilvl="0" w:tentative="0">
      <w:start w:val="1"/>
      <w:numFmt w:val="decimal"/>
      <w:pStyle w:val="65"/>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60"/>
      <w:suff w:val="nothing"/>
      <w:lvlText w:val="%1%2.%3　"/>
      <w:lvlJc w:val="left"/>
      <w:pPr>
        <w:ind w:left="0" w:firstLine="0"/>
      </w:pPr>
    </w:lvl>
    <w:lvl w:ilvl="3" w:tentative="0">
      <w:start w:val="1"/>
      <w:numFmt w:val="decimal"/>
      <w:pStyle w:val="119"/>
      <w:suff w:val="nothing"/>
      <w:lvlText w:val="%1%2.%3.%4　"/>
      <w:lvlJc w:val="left"/>
      <w:pPr>
        <w:ind w:left="0" w:firstLine="0"/>
      </w:pPr>
    </w:lvl>
    <w:lvl w:ilvl="4" w:tentative="0">
      <w:start w:val="1"/>
      <w:numFmt w:val="decimal"/>
      <w:pStyle w:val="154"/>
      <w:suff w:val="nothing"/>
      <w:lvlText w:val="%1%2.%3.%4.%5　"/>
      <w:lvlJc w:val="left"/>
      <w:pPr>
        <w:ind w:left="0" w:firstLine="0"/>
      </w:pPr>
    </w:lvl>
    <w:lvl w:ilvl="5" w:tentative="0">
      <w:start w:val="1"/>
      <w:numFmt w:val="decimal"/>
      <w:pStyle w:val="156"/>
      <w:suff w:val="nothing"/>
      <w:lvlText w:val="%1%2.%3.%4.%5.%6　"/>
      <w:lvlJc w:val="left"/>
      <w:pPr>
        <w:ind w:left="0" w:firstLine="0"/>
      </w:pPr>
    </w:lvl>
    <w:lvl w:ilvl="6" w:tentative="0">
      <w:start w:val="1"/>
      <w:numFmt w:val="decimal"/>
      <w:pStyle w:val="159"/>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1"/>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90"/>
      <w:lvlText w:val="%1"/>
      <w:lvlJc w:val="left"/>
      <w:pPr>
        <w:ind w:left="425" w:hanging="425"/>
      </w:pPr>
      <w:rPr>
        <w:rFonts w:hint="eastAsia"/>
      </w:rPr>
    </w:lvl>
    <w:lvl w:ilvl="1" w:tentative="0">
      <w:start w:val="1"/>
      <w:numFmt w:val="decimal"/>
      <w:pStyle w:val="201"/>
      <w:suff w:val="nothing"/>
      <w:lvlText w:val="%10.%2 "/>
      <w:lvlJc w:val="left"/>
      <w:pPr>
        <w:ind w:left="0" w:firstLine="0"/>
      </w:pPr>
      <w:rPr>
        <w:rFonts w:hint="eastAsia" w:ascii="黑体" w:eastAsia="黑体" w:hAnsiTheme="minorHAnsi"/>
        <w:b w:val="0"/>
        <w:i w:val="0"/>
        <w:sz w:val="21"/>
      </w:rPr>
    </w:lvl>
    <w:lvl w:ilvl="2" w:tentative="0">
      <w:start w:val="1"/>
      <w:numFmt w:val="decimal"/>
      <w:pStyle w:val="202"/>
      <w:suff w:val="nothing"/>
      <w:lvlText w:val="%10.%2.%3 "/>
      <w:lvlJc w:val="left"/>
      <w:pPr>
        <w:ind w:left="0" w:firstLine="0"/>
      </w:pPr>
      <w:rPr>
        <w:rFonts w:hint="eastAsia" w:ascii="黑体" w:eastAsia="黑体" w:hAnsiTheme="minorHAnsi"/>
        <w:b w:val="0"/>
        <w:i w:val="0"/>
        <w:sz w:val="21"/>
      </w:rPr>
    </w:lvl>
    <w:lvl w:ilvl="3" w:tentative="0">
      <w:start w:val="1"/>
      <w:numFmt w:val="decimal"/>
      <w:pStyle w:val="203"/>
      <w:suff w:val="nothing"/>
      <w:lvlText w:val="%10.%2.%3.%4 "/>
      <w:lvlJc w:val="left"/>
      <w:pPr>
        <w:ind w:left="0" w:firstLine="0"/>
      </w:pPr>
      <w:rPr>
        <w:rFonts w:hint="eastAsia" w:ascii="黑体" w:eastAsia="黑体" w:hAnsiTheme="minorHAnsi"/>
        <w:b w:val="0"/>
        <w:i w:val="0"/>
        <w:sz w:val="21"/>
      </w:rPr>
    </w:lvl>
    <w:lvl w:ilvl="4" w:tentative="0">
      <w:start w:val="1"/>
      <w:numFmt w:val="decimal"/>
      <w:pStyle w:val="204"/>
      <w:suff w:val="nothing"/>
      <w:lvlText w:val="%10.%2.%3.%4.%5 "/>
      <w:lvlJc w:val="left"/>
      <w:pPr>
        <w:ind w:left="0" w:firstLine="0"/>
      </w:pPr>
      <w:rPr>
        <w:rFonts w:hint="eastAsia" w:ascii="黑体" w:eastAsia="黑体" w:hAnsiTheme="minorHAnsi"/>
        <w:b w:val="0"/>
        <w:i w:val="0"/>
        <w:sz w:val="21"/>
      </w:rPr>
    </w:lvl>
    <w:lvl w:ilvl="5" w:tentative="0">
      <w:start w:val="1"/>
      <w:numFmt w:val="decimal"/>
      <w:pStyle w:val="205"/>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2"/>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8"/>
      <w:lvlText w:val="[%1]"/>
      <w:lvlJc w:val="left"/>
      <w:pPr>
        <w:ind w:left="823" w:hanging="420"/>
      </w:pPr>
    </w:lvl>
    <w:lvl w:ilvl="1" w:tentative="0">
      <w:start w:val="1"/>
      <w:numFmt w:val="lowerLetter"/>
      <w:pStyle w:val="235"/>
      <w:lvlText w:val="%2)"/>
      <w:lvlJc w:val="left"/>
      <w:pPr>
        <w:tabs>
          <w:tab w:val="left" w:pos="840"/>
        </w:tabs>
        <w:ind w:left="840" w:hanging="420"/>
      </w:pPr>
    </w:lvl>
    <w:lvl w:ilvl="2" w:tentative="0">
      <w:start w:val="1"/>
      <w:numFmt w:val="lowerRoman"/>
      <w:pStyle w:val="234"/>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70"/>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1"/>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6"/>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3"/>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3"/>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8"/>
      <w:lvlText w:val=""/>
      <w:lvlJc w:val="left"/>
      <w:pPr>
        <w:ind w:left="851" w:hanging="431"/>
      </w:pPr>
      <w:rPr>
        <w:rFonts w:hint="default" w:ascii="Symbol" w:hAnsi="Symbol"/>
        <w:sz w:val="21"/>
      </w:rPr>
    </w:lvl>
    <w:lvl w:ilvl="2" w:tentative="0">
      <w:start w:val="1"/>
      <w:numFmt w:val="bullet"/>
      <w:pStyle w:val="173"/>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2"/>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5"/>
      <w:lvlText w:val="%1)"/>
      <w:lvlJc w:val="left"/>
      <w:pPr>
        <w:tabs>
          <w:tab w:val="left" w:pos="851"/>
        </w:tabs>
        <w:ind w:left="851" w:hanging="426"/>
      </w:pPr>
      <w:rPr>
        <w:rFonts w:hint="eastAsia" w:ascii="宋体" w:hAnsi="Times New Roman" w:eastAsia="宋体"/>
        <w:sz w:val="21"/>
      </w:rPr>
    </w:lvl>
    <w:lvl w:ilvl="1" w:tentative="0">
      <w:start w:val="1"/>
      <w:numFmt w:val="decimal"/>
      <w:pStyle w:val="110"/>
      <w:lvlText w:val="%2)"/>
      <w:lvlJc w:val="left"/>
      <w:pPr>
        <w:tabs>
          <w:tab w:val="left" w:pos="1276"/>
        </w:tabs>
        <w:ind w:left="1276" w:hanging="425"/>
      </w:pPr>
      <w:rPr>
        <w:rFonts w:hint="eastAsia" w:ascii="宋体" w:hAnsi="Times New Roman" w:eastAsia="宋体"/>
        <w:sz w:val="21"/>
      </w:rPr>
    </w:lvl>
    <w:lvl w:ilvl="2" w:tentative="0">
      <w:start w:val="1"/>
      <w:numFmt w:val="decimal"/>
      <w:pStyle w:val="118"/>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9"/>
      <w:lvlText w:val="%1"/>
      <w:lvlJc w:val="left"/>
      <w:pPr>
        <w:ind w:left="420" w:hanging="420"/>
      </w:pPr>
      <w:rPr>
        <w:rFonts w:hint="eastAsia"/>
      </w:rPr>
    </w:lvl>
    <w:lvl w:ilvl="1" w:tentative="0">
      <w:start w:val="1"/>
      <w:numFmt w:val="decimal"/>
      <w:pStyle w:val="84"/>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4"/>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7"/>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4"/>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5"/>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200"/>
      <w:suff w:val="space"/>
      <w:lvlText w:val="%1"/>
      <w:lvlJc w:val="left"/>
      <w:pPr>
        <w:ind w:left="425" w:hanging="425"/>
      </w:pPr>
      <w:rPr>
        <w:rFonts w:hint="eastAsia"/>
      </w:rPr>
    </w:lvl>
    <w:lvl w:ilvl="1" w:tentative="0">
      <w:start w:val="1"/>
      <w:numFmt w:val="decimal"/>
      <w:pStyle w:val="78"/>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2"/>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3"/>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90"/>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7"/>
      <w:suff w:val="nothing"/>
      <w:lvlText w:val="附录%1"/>
      <w:lvlJc w:val="left"/>
      <w:pPr>
        <w:ind w:left="0" w:firstLine="0"/>
      </w:pPr>
      <w:rPr>
        <w:rFonts w:hint="eastAsia"/>
        <w:spacing w:val="100"/>
      </w:rPr>
    </w:lvl>
    <w:lvl w:ilvl="1" w:tentative="0">
      <w:start w:val="1"/>
      <w:numFmt w:val="decimal"/>
      <w:pStyle w:val="79"/>
      <w:suff w:val="nothing"/>
      <w:lvlText w:val="%1.%2　"/>
      <w:lvlJc w:val="left"/>
      <w:pPr>
        <w:ind w:left="0" w:firstLine="0"/>
      </w:pPr>
      <w:rPr>
        <w:rFonts w:hint="eastAsia" w:ascii="黑体" w:eastAsia="黑体"/>
        <w:b w:val="0"/>
        <w:i w:val="0"/>
        <w:sz w:val="21"/>
      </w:rPr>
    </w:lvl>
    <w:lvl w:ilvl="2" w:tentative="0">
      <w:start w:val="1"/>
      <w:numFmt w:val="decimal"/>
      <w:pStyle w:val="80"/>
      <w:suff w:val="nothing"/>
      <w:lvlText w:val="%1.%2.%3　"/>
      <w:lvlJc w:val="left"/>
      <w:pPr>
        <w:ind w:left="0" w:firstLine="0"/>
      </w:pPr>
      <w:rPr>
        <w:rFonts w:hint="eastAsia" w:ascii="黑体" w:eastAsia="黑体"/>
        <w:b w:val="0"/>
        <w:i w:val="0"/>
        <w:sz w:val="21"/>
      </w:rPr>
    </w:lvl>
    <w:lvl w:ilvl="3" w:tentative="0">
      <w:start w:val="1"/>
      <w:numFmt w:val="decimal"/>
      <w:pStyle w:val="82"/>
      <w:suff w:val="nothing"/>
      <w:lvlText w:val="%1.%2.%3.%4　"/>
      <w:lvlJc w:val="left"/>
      <w:pPr>
        <w:ind w:left="0" w:firstLine="0"/>
      </w:pPr>
      <w:rPr>
        <w:rFonts w:hint="eastAsia" w:ascii="黑体" w:eastAsia="黑体"/>
        <w:b w:val="0"/>
        <w:i w:val="0"/>
        <w:sz w:val="21"/>
      </w:rPr>
    </w:lvl>
    <w:lvl w:ilvl="4" w:tentative="0">
      <w:start w:val="1"/>
      <w:numFmt w:val="decimal"/>
      <w:pStyle w:val="83"/>
      <w:suff w:val="nothing"/>
      <w:lvlText w:val="%1.%2.%3.%4.%5　"/>
      <w:lvlJc w:val="left"/>
      <w:pPr>
        <w:ind w:left="0" w:firstLine="0"/>
      </w:pPr>
      <w:rPr>
        <w:rFonts w:hint="eastAsia" w:ascii="黑体" w:eastAsia="黑体"/>
        <w:b w:val="0"/>
        <w:i w:val="0"/>
        <w:sz w:val="21"/>
      </w:rPr>
    </w:lvl>
    <w:lvl w:ilvl="5" w:tentative="0">
      <w:start w:val="1"/>
      <w:numFmt w:val="decimal"/>
      <w:pStyle w:val="85"/>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9"/>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8"/>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4"/>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3"/>
      <w:suff w:val="nothing"/>
      <w:lvlText w:val="%1"/>
      <w:lvlJc w:val="left"/>
      <w:pPr>
        <w:ind w:left="0" w:firstLine="0"/>
      </w:pPr>
      <w:rPr>
        <w:rFonts w:hint="eastAsia"/>
      </w:rPr>
    </w:lvl>
    <w:lvl w:ilvl="1" w:tentative="0">
      <w:start w:val="1"/>
      <w:numFmt w:val="decimal"/>
      <w:pStyle w:val="105"/>
      <w:suff w:val="nothing"/>
      <w:lvlText w:val="%1%2　"/>
      <w:lvlJc w:val="left"/>
      <w:pPr>
        <w:ind w:left="142" w:firstLine="0"/>
      </w:pPr>
      <w:rPr>
        <w:rFonts w:hint="eastAsia" w:ascii="黑体" w:eastAsia="黑体"/>
        <w:b w:val="0"/>
        <w:i w:val="0"/>
        <w:sz w:val="21"/>
      </w:rPr>
    </w:lvl>
    <w:lvl w:ilvl="2" w:tentative="0">
      <w:start w:val="1"/>
      <w:numFmt w:val="decimal"/>
      <w:pStyle w:val="106"/>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3" w:tentative="0">
      <w:start w:val="1"/>
      <w:numFmt w:val="decimal"/>
      <w:pStyle w:val="66"/>
      <w:suff w:val="nothing"/>
      <w:lvlText w:val="%1%2.%3.%4　"/>
      <w:lvlJc w:val="left"/>
      <w:pPr>
        <w:ind w:left="0" w:firstLine="0"/>
      </w:pPr>
      <w:rPr>
        <w:rFonts w:hint="eastAsia" w:ascii="黑体" w:eastAsia="黑体"/>
        <w:b w:val="0"/>
        <w:i w:val="0"/>
        <w:sz w:val="21"/>
      </w:rPr>
    </w:lvl>
    <w:lvl w:ilvl="4" w:tentative="0">
      <w:start w:val="1"/>
      <w:numFmt w:val="decimal"/>
      <w:pStyle w:val="95"/>
      <w:suff w:val="nothing"/>
      <w:lvlText w:val="%1%2.%3.%4.%5　"/>
      <w:lvlJc w:val="left"/>
      <w:pPr>
        <w:ind w:left="0" w:firstLine="0"/>
      </w:pPr>
      <w:rPr>
        <w:rFonts w:hint="eastAsia" w:ascii="黑体" w:eastAsia="黑体"/>
        <w:b w:val="0"/>
        <w:i w:val="0"/>
        <w:sz w:val="21"/>
      </w:rPr>
    </w:lvl>
    <w:lvl w:ilvl="5" w:tentative="0">
      <w:start w:val="1"/>
      <w:numFmt w:val="decimal"/>
      <w:pStyle w:val="99"/>
      <w:suff w:val="nothing"/>
      <w:lvlText w:val="%1%2.%3.%4.%5.%6　"/>
      <w:lvlJc w:val="left"/>
      <w:pPr>
        <w:ind w:left="0" w:firstLine="0"/>
      </w:pPr>
      <w:rPr>
        <w:rFonts w:hint="eastAsia" w:ascii="黑体" w:eastAsia="黑体"/>
        <w:b w:val="0"/>
        <w:i w:val="0"/>
        <w:sz w:val="21"/>
      </w:rPr>
    </w:lvl>
    <w:lvl w:ilvl="6" w:tentative="0">
      <w:start w:val="1"/>
      <w:numFmt w:val="decimal"/>
      <w:pStyle w:val="104"/>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80"/>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6"/>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40"/>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bordersDoNotSurroundHeader w:val="1"/>
  <w:bordersDoNotSurroundFooter w:val="1"/>
  <w:attachedTemplate r:id="rId1"/>
  <w:documentProtection w:edit="forms" w:enforcement="1" w:cryptProviderType="rsaAES" w:cryptAlgorithmClass="hash" w:cryptAlgorithmType="typeAny" w:cryptAlgorithmSid="14" w:cryptSpinCount="100000" w:hash="xW9gCOQ4EqdlM1YprK/BQSTVDEj1V4WVcGb9lQCEzfwWYoNtmOxEqkq25kTIM0rNHeRk/txaGeGu+eOIR3MMhA==" w:salt="0ZMuhsNfGQrwAUoKjDkGpA=="/>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5C4"/>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892"/>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3F75"/>
    <w:rsid w:val="000556ED"/>
    <w:rsid w:val="00055FE2"/>
    <w:rsid w:val="0005616F"/>
    <w:rsid w:val="00057A33"/>
    <w:rsid w:val="00060C2E"/>
    <w:rsid w:val="00061033"/>
    <w:rsid w:val="000619E9"/>
    <w:rsid w:val="000622D4"/>
    <w:rsid w:val="0006357D"/>
    <w:rsid w:val="000649D3"/>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B7B92"/>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6AF9"/>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7BE"/>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14EB"/>
    <w:rsid w:val="002E4D5A"/>
    <w:rsid w:val="002E510F"/>
    <w:rsid w:val="002E6326"/>
    <w:rsid w:val="002F30E0"/>
    <w:rsid w:val="002F35E4"/>
    <w:rsid w:val="002F3730"/>
    <w:rsid w:val="002F38E1"/>
    <w:rsid w:val="002F7AF6"/>
    <w:rsid w:val="00300E63"/>
    <w:rsid w:val="00302F5F"/>
    <w:rsid w:val="0030441D"/>
    <w:rsid w:val="00306063"/>
    <w:rsid w:val="00307721"/>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CED"/>
    <w:rsid w:val="00365F86"/>
    <w:rsid w:val="00365F87"/>
    <w:rsid w:val="00366E89"/>
    <w:rsid w:val="003705F4"/>
    <w:rsid w:val="00370D58"/>
    <w:rsid w:val="00371316"/>
    <w:rsid w:val="00376713"/>
    <w:rsid w:val="00377239"/>
    <w:rsid w:val="00381815"/>
    <w:rsid w:val="003819AF"/>
    <w:rsid w:val="003820E9"/>
    <w:rsid w:val="00382DE7"/>
    <w:rsid w:val="00384EE6"/>
    <w:rsid w:val="00384FFC"/>
    <w:rsid w:val="003872FC"/>
    <w:rsid w:val="00387ADC"/>
    <w:rsid w:val="00390020"/>
    <w:rsid w:val="003903D6"/>
    <w:rsid w:val="00390EA8"/>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D79C6"/>
    <w:rsid w:val="003E091D"/>
    <w:rsid w:val="003E1C53"/>
    <w:rsid w:val="003E24EA"/>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07FDC"/>
    <w:rsid w:val="00412CB3"/>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14D"/>
    <w:rsid w:val="004644A6"/>
    <w:rsid w:val="004659BD"/>
    <w:rsid w:val="00470775"/>
    <w:rsid w:val="004721D9"/>
    <w:rsid w:val="00472C82"/>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A6C49"/>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5802"/>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27A4E"/>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C71CF"/>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4F78"/>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35C4"/>
    <w:rsid w:val="006840A6"/>
    <w:rsid w:val="006850CD"/>
    <w:rsid w:val="00685AAB"/>
    <w:rsid w:val="00695D22"/>
    <w:rsid w:val="006A04A1"/>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097B"/>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0297"/>
    <w:rsid w:val="007959E8"/>
    <w:rsid w:val="00795E9C"/>
    <w:rsid w:val="007A0521"/>
    <w:rsid w:val="007A2046"/>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326E"/>
    <w:rsid w:val="007C4593"/>
    <w:rsid w:val="007C5309"/>
    <w:rsid w:val="007C6069"/>
    <w:rsid w:val="007D06C4"/>
    <w:rsid w:val="007D1352"/>
    <w:rsid w:val="007D2508"/>
    <w:rsid w:val="007D346A"/>
    <w:rsid w:val="007D6518"/>
    <w:rsid w:val="007D76BD"/>
    <w:rsid w:val="007E01C2"/>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0A9"/>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753"/>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06F5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8C5"/>
    <w:rsid w:val="00997BF1"/>
    <w:rsid w:val="009A089C"/>
    <w:rsid w:val="009A118E"/>
    <w:rsid w:val="009A21CD"/>
    <w:rsid w:val="009A278C"/>
    <w:rsid w:val="009A2BC2"/>
    <w:rsid w:val="009A42C1"/>
    <w:rsid w:val="009A5429"/>
    <w:rsid w:val="009A72AD"/>
    <w:rsid w:val="009B09E0"/>
    <w:rsid w:val="009B0BC5"/>
    <w:rsid w:val="009B0FAB"/>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9F5E3D"/>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47855"/>
    <w:rsid w:val="00A55BD6"/>
    <w:rsid w:val="00A55D50"/>
    <w:rsid w:val="00A55F26"/>
    <w:rsid w:val="00A57142"/>
    <w:rsid w:val="00A602FA"/>
    <w:rsid w:val="00A648CD"/>
    <w:rsid w:val="00A6537A"/>
    <w:rsid w:val="00A65926"/>
    <w:rsid w:val="00A67866"/>
    <w:rsid w:val="00A70B07"/>
    <w:rsid w:val="00A723F8"/>
    <w:rsid w:val="00A77CCB"/>
    <w:rsid w:val="00A83D8D"/>
    <w:rsid w:val="00A8446B"/>
    <w:rsid w:val="00A8473F"/>
    <w:rsid w:val="00A862D6"/>
    <w:rsid w:val="00A8715E"/>
    <w:rsid w:val="00A9295B"/>
    <w:rsid w:val="00A93B09"/>
    <w:rsid w:val="00A9405F"/>
    <w:rsid w:val="00A94247"/>
    <w:rsid w:val="00A952D7"/>
    <w:rsid w:val="00A963F7"/>
    <w:rsid w:val="00A96AD8"/>
    <w:rsid w:val="00A97D9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2ED7"/>
    <w:rsid w:val="00B831CE"/>
    <w:rsid w:val="00B86677"/>
    <w:rsid w:val="00B87131"/>
    <w:rsid w:val="00B939B1"/>
    <w:rsid w:val="00B96D40"/>
    <w:rsid w:val="00B97386"/>
    <w:rsid w:val="00BA263B"/>
    <w:rsid w:val="00BA42B2"/>
    <w:rsid w:val="00BA58D4"/>
    <w:rsid w:val="00BA5B9E"/>
    <w:rsid w:val="00BA7C9A"/>
    <w:rsid w:val="00BB203B"/>
    <w:rsid w:val="00BB5F8F"/>
    <w:rsid w:val="00BB657A"/>
    <w:rsid w:val="00BC1A4E"/>
    <w:rsid w:val="00BC4790"/>
    <w:rsid w:val="00BC5DC7"/>
    <w:rsid w:val="00BC6B8B"/>
    <w:rsid w:val="00BC73D8"/>
    <w:rsid w:val="00BD2D2D"/>
    <w:rsid w:val="00BD52D7"/>
    <w:rsid w:val="00BD5AD2"/>
    <w:rsid w:val="00BE22F3"/>
    <w:rsid w:val="00BE5B52"/>
    <w:rsid w:val="00BE7B8D"/>
    <w:rsid w:val="00BF0993"/>
    <w:rsid w:val="00BF10A9"/>
    <w:rsid w:val="00BF1703"/>
    <w:rsid w:val="00BF231C"/>
    <w:rsid w:val="00BF51E5"/>
    <w:rsid w:val="00BF6F7B"/>
    <w:rsid w:val="00BF74A6"/>
    <w:rsid w:val="00C013AD"/>
    <w:rsid w:val="00C04904"/>
    <w:rsid w:val="00C056B3"/>
    <w:rsid w:val="00C103E5"/>
    <w:rsid w:val="00C13319"/>
    <w:rsid w:val="00C13EE9"/>
    <w:rsid w:val="00C21540"/>
    <w:rsid w:val="00C21906"/>
    <w:rsid w:val="00C21BFA"/>
    <w:rsid w:val="00C22148"/>
    <w:rsid w:val="00C23F4D"/>
    <w:rsid w:val="00C24C8D"/>
    <w:rsid w:val="00C25FE2"/>
    <w:rsid w:val="00C26B53"/>
    <w:rsid w:val="00C279B2"/>
    <w:rsid w:val="00C33E50"/>
    <w:rsid w:val="00C34C20"/>
    <w:rsid w:val="00C35A3E"/>
    <w:rsid w:val="00C42130"/>
    <w:rsid w:val="00C423A4"/>
    <w:rsid w:val="00C44BF5"/>
    <w:rsid w:val="00C452C4"/>
    <w:rsid w:val="00C521D6"/>
    <w:rsid w:val="00C55232"/>
    <w:rsid w:val="00C553A4"/>
    <w:rsid w:val="00C55A06"/>
    <w:rsid w:val="00C55D03"/>
    <w:rsid w:val="00C601BC"/>
    <w:rsid w:val="00C6329F"/>
    <w:rsid w:val="00C63340"/>
    <w:rsid w:val="00C643F9"/>
    <w:rsid w:val="00C64E95"/>
    <w:rsid w:val="00C71372"/>
    <w:rsid w:val="00C71C1A"/>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06B"/>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0BDA"/>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2B95"/>
    <w:rsid w:val="00D4514F"/>
    <w:rsid w:val="00D451E2"/>
    <w:rsid w:val="00D45E89"/>
    <w:rsid w:val="00D45E8D"/>
    <w:rsid w:val="00D466AE"/>
    <w:rsid w:val="00D4734F"/>
    <w:rsid w:val="00D51933"/>
    <w:rsid w:val="00D51BF3"/>
    <w:rsid w:val="00D66846"/>
    <w:rsid w:val="00D675FB"/>
    <w:rsid w:val="00D71F25"/>
    <w:rsid w:val="00D72A9C"/>
    <w:rsid w:val="00D73BA5"/>
    <w:rsid w:val="00D77031"/>
    <w:rsid w:val="00D84941"/>
    <w:rsid w:val="00D84FA1"/>
    <w:rsid w:val="00D851F0"/>
    <w:rsid w:val="00D86DB7"/>
    <w:rsid w:val="00D926D0"/>
    <w:rsid w:val="00D93030"/>
    <w:rsid w:val="00D950E1"/>
    <w:rsid w:val="00D952A6"/>
    <w:rsid w:val="00D97F99"/>
    <w:rsid w:val="00DA13B2"/>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0C96"/>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0233"/>
    <w:rsid w:val="00DF1961"/>
    <w:rsid w:val="00DF44DE"/>
    <w:rsid w:val="00DF5F11"/>
    <w:rsid w:val="00E01138"/>
    <w:rsid w:val="00E02DFB"/>
    <w:rsid w:val="00E030F9"/>
    <w:rsid w:val="00E0311A"/>
    <w:rsid w:val="00E03138"/>
    <w:rsid w:val="00E06404"/>
    <w:rsid w:val="00E065D2"/>
    <w:rsid w:val="00E11A85"/>
    <w:rsid w:val="00E12495"/>
    <w:rsid w:val="00E15CCD"/>
    <w:rsid w:val="00E168CC"/>
    <w:rsid w:val="00E202EF"/>
    <w:rsid w:val="00E210B5"/>
    <w:rsid w:val="00E23D99"/>
    <w:rsid w:val="00E2552F"/>
    <w:rsid w:val="00E3137A"/>
    <w:rsid w:val="00E32CCF"/>
    <w:rsid w:val="00E34A98"/>
    <w:rsid w:val="00E35D1E"/>
    <w:rsid w:val="00E364F9"/>
    <w:rsid w:val="00E365FA"/>
    <w:rsid w:val="00E36789"/>
    <w:rsid w:val="00E42085"/>
    <w:rsid w:val="00E44A83"/>
    <w:rsid w:val="00E502C1"/>
    <w:rsid w:val="00E502DD"/>
    <w:rsid w:val="00E50D3A"/>
    <w:rsid w:val="00E51387"/>
    <w:rsid w:val="00E51E68"/>
    <w:rsid w:val="00E52EFD"/>
    <w:rsid w:val="00E5408A"/>
    <w:rsid w:val="00E56800"/>
    <w:rsid w:val="00E60C63"/>
    <w:rsid w:val="00E60ECB"/>
    <w:rsid w:val="00E62B48"/>
    <w:rsid w:val="00E62FF9"/>
    <w:rsid w:val="00E635D6"/>
    <w:rsid w:val="00E639BC"/>
    <w:rsid w:val="00E664CC"/>
    <w:rsid w:val="00E66F2D"/>
    <w:rsid w:val="00E70388"/>
    <w:rsid w:val="00E70F92"/>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4AD9"/>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E7A35"/>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9662B6C"/>
    <w:rsid w:val="2F7E3212"/>
    <w:rsid w:val="4FB72D96"/>
    <w:rsid w:val="5AB81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qFormat="1"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5"/>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6"/>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7"/>
    <w:qFormat/>
    <w:uiPriority w:val="0"/>
    <w:pPr>
      <w:keepNext/>
      <w:keepLines/>
      <w:spacing w:before="260" w:after="260" w:line="416" w:lineRule="auto"/>
      <w:outlineLvl w:val="2"/>
    </w:pPr>
    <w:rPr>
      <w:b/>
      <w:bCs/>
      <w:sz w:val="32"/>
      <w:szCs w:val="32"/>
    </w:rPr>
  </w:style>
  <w:style w:type="paragraph" w:styleId="5">
    <w:name w:val="heading 4"/>
    <w:basedOn w:val="1"/>
    <w:next w:val="1"/>
    <w:link w:val="38"/>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9"/>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40"/>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1"/>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2"/>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3"/>
    <w:qFormat/>
    <w:uiPriority w:val="0"/>
    <w:pPr>
      <w:keepNext/>
      <w:keepLines/>
      <w:adjustRightInd/>
      <w:spacing w:before="240" w:after="64" w:line="320" w:lineRule="auto"/>
      <w:outlineLvl w:val="8"/>
    </w:pPr>
    <w:rPr>
      <w:rFonts w:ascii="Arial" w:hAnsi="Arial" w:eastAsia="黑体"/>
    </w:rPr>
  </w:style>
  <w:style w:type="character" w:default="1" w:styleId="29">
    <w:name w:val="Default Paragraph Font"/>
    <w:semiHidden/>
    <w:unhideWhenUsed/>
    <w:uiPriority w:val="1"/>
  </w:style>
  <w:style w:type="table" w:default="1" w:styleId="27">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7"/>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ody Text Indent 2"/>
    <w:basedOn w:val="1"/>
    <w:link w:val="231"/>
    <w:semiHidden/>
    <w:unhideWhenUsed/>
    <w:qFormat/>
    <w:uiPriority w:val="99"/>
    <w:pPr>
      <w:spacing w:after="120" w:line="480" w:lineRule="auto"/>
      <w:ind w:left="420" w:leftChars="200"/>
    </w:pPr>
  </w:style>
  <w:style w:type="paragraph" w:styleId="17">
    <w:name w:val="Balloon Text"/>
    <w:basedOn w:val="1"/>
    <w:link w:val="46"/>
    <w:semiHidden/>
    <w:unhideWhenUsed/>
    <w:qFormat/>
    <w:uiPriority w:val="99"/>
    <w:rPr>
      <w:sz w:val="18"/>
      <w:szCs w:val="18"/>
    </w:rPr>
  </w:style>
  <w:style w:type="paragraph" w:styleId="18">
    <w:name w:val="footer"/>
    <w:basedOn w:val="1"/>
    <w:link w:val="45"/>
    <w:qFormat/>
    <w:uiPriority w:val="99"/>
    <w:pPr>
      <w:tabs>
        <w:tab w:val="center" w:pos="4153"/>
        <w:tab w:val="right" w:pos="8306"/>
      </w:tabs>
      <w:adjustRightInd/>
      <w:snapToGrid w:val="0"/>
      <w:spacing w:line="240" w:lineRule="auto"/>
      <w:jc w:val="right"/>
    </w:pPr>
    <w:rPr>
      <w:rFonts w:ascii="宋体"/>
      <w:sz w:val="18"/>
      <w:szCs w:val="18"/>
    </w:rPr>
  </w:style>
  <w:style w:type="paragraph" w:styleId="19">
    <w:name w:val="header"/>
    <w:basedOn w:val="1"/>
    <w:link w:val="44"/>
    <w:qFormat/>
    <w:uiPriority w:val="99"/>
    <w:pPr>
      <w:tabs>
        <w:tab w:val="center" w:pos="4153"/>
        <w:tab w:val="right" w:pos="8306"/>
      </w:tabs>
      <w:adjustRightInd/>
      <w:snapToGrid w:val="0"/>
      <w:jc w:val="center"/>
    </w:pPr>
    <w:rPr>
      <w:sz w:val="18"/>
      <w:szCs w:val="18"/>
    </w:rPr>
  </w:style>
  <w:style w:type="paragraph" w:styleId="20">
    <w:name w:val="toc 1"/>
    <w:basedOn w:val="1"/>
    <w:next w:val="1"/>
    <w:unhideWhenUsed/>
    <w:qFormat/>
    <w:uiPriority w:val="39"/>
    <w:rPr>
      <w:rFonts w:ascii="宋体"/>
    </w:rPr>
  </w:style>
  <w:style w:type="paragraph" w:styleId="21">
    <w:name w:val="toc 4"/>
    <w:basedOn w:val="1"/>
    <w:next w:val="1"/>
    <w:unhideWhenUsed/>
    <w:qFormat/>
    <w:uiPriority w:val="39"/>
    <w:pPr>
      <w:tabs>
        <w:tab w:val="right" w:leader="dot" w:pos="9344"/>
      </w:tabs>
      <w:spacing w:line="300" w:lineRule="exact"/>
      <w:ind w:left="629"/>
    </w:pPr>
    <w:rPr>
      <w:rFonts w:ascii="宋体"/>
    </w:rPr>
  </w:style>
  <w:style w:type="paragraph" w:styleId="22">
    <w:name w:val="footnote text"/>
    <w:basedOn w:val="1"/>
    <w:next w:val="1"/>
    <w:link w:val="100"/>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3">
    <w:name w:val="toc 6"/>
    <w:basedOn w:val="1"/>
    <w:next w:val="1"/>
    <w:unhideWhenUsed/>
    <w:qFormat/>
    <w:uiPriority w:val="39"/>
    <w:pPr>
      <w:spacing w:line="300" w:lineRule="exact"/>
      <w:ind w:left="1049"/>
    </w:pPr>
    <w:rPr>
      <w:rFonts w:ascii="宋体"/>
    </w:rPr>
  </w:style>
  <w:style w:type="paragraph" w:styleId="24">
    <w:name w:val="table of figures"/>
    <w:basedOn w:val="1"/>
    <w:next w:val="1"/>
    <w:semiHidden/>
    <w:qFormat/>
    <w:uiPriority w:val="0"/>
    <w:pPr>
      <w:adjustRightInd/>
      <w:spacing w:line="240" w:lineRule="auto"/>
      <w:jc w:val="left"/>
    </w:pPr>
    <w:rPr>
      <w:szCs w:val="24"/>
    </w:rPr>
  </w:style>
  <w:style w:type="paragraph" w:styleId="25">
    <w:name w:val="toc 2"/>
    <w:basedOn w:val="1"/>
    <w:next w:val="1"/>
    <w:unhideWhenUsed/>
    <w:qFormat/>
    <w:uiPriority w:val="39"/>
    <w:pPr>
      <w:tabs>
        <w:tab w:val="right" w:leader="dot" w:pos="9344"/>
      </w:tabs>
      <w:spacing w:line="300" w:lineRule="exact"/>
      <w:ind w:left="210"/>
    </w:pPr>
    <w:rPr>
      <w:rFonts w:ascii="宋体"/>
    </w:rPr>
  </w:style>
  <w:style w:type="paragraph" w:styleId="26">
    <w:name w:val="Title"/>
    <w:basedOn w:val="1"/>
    <w:link w:val="49"/>
    <w:qFormat/>
    <w:uiPriority w:val="0"/>
    <w:pPr>
      <w:spacing w:before="240" w:after="60"/>
      <w:jc w:val="center"/>
      <w:outlineLvl w:val="0"/>
    </w:pPr>
    <w:rPr>
      <w:rFonts w:ascii="Arial" w:hAnsi="Arial" w:cs="Arial"/>
      <w:b/>
      <w:bCs/>
      <w:sz w:val="32"/>
      <w:szCs w:val="32"/>
    </w:rPr>
  </w:style>
  <w:style w:type="table" w:styleId="28">
    <w:name w:val="Table Grid"/>
    <w:basedOn w:val="2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0">
    <w:name w:val="Strong"/>
    <w:qFormat/>
    <w:uiPriority w:val="22"/>
    <w:rPr>
      <w:b/>
      <w:bCs/>
    </w:rPr>
  </w:style>
  <w:style w:type="character" w:styleId="31">
    <w:name w:val="page number"/>
    <w:qFormat/>
    <w:uiPriority w:val="0"/>
    <w:rPr>
      <w:rFonts w:ascii="宋体" w:hAnsi="Times New Roman" w:eastAsia="宋体"/>
      <w:sz w:val="18"/>
    </w:rPr>
  </w:style>
  <w:style w:type="character" w:styleId="32">
    <w:name w:val="Emphasis"/>
    <w:qFormat/>
    <w:uiPriority w:val="20"/>
    <w:rPr>
      <w:i/>
      <w:iCs/>
    </w:rPr>
  </w:style>
  <w:style w:type="character" w:styleId="33">
    <w:name w:val="Hyperlink"/>
    <w:qFormat/>
    <w:uiPriority w:val="99"/>
    <w:rPr>
      <w:rFonts w:ascii="宋体" w:hAnsi="Times New Roman" w:eastAsia="宋体"/>
      <w:color w:val="auto"/>
      <w:spacing w:val="0"/>
      <w:w w:val="100"/>
      <w:position w:val="0"/>
      <w:sz w:val="21"/>
      <w:u w:val="none"/>
      <w:vertAlign w:val="baseline"/>
    </w:rPr>
  </w:style>
  <w:style w:type="character" w:styleId="34">
    <w:name w:val="footnote reference"/>
    <w:semiHidden/>
    <w:qFormat/>
    <w:uiPriority w:val="0"/>
    <w:rPr>
      <w:rFonts w:ascii="宋体" w:hAnsi="宋体" w:eastAsia="宋体" w:cs="Times New Roman"/>
      <w:spacing w:val="0"/>
      <w:sz w:val="18"/>
      <w:vertAlign w:val="superscript"/>
    </w:rPr>
  </w:style>
  <w:style w:type="character" w:customStyle="1" w:styleId="35">
    <w:name w:val="标题 1 字符"/>
    <w:link w:val="2"/>
    <w:qFormat/>
    <w:uiPriority w:val="0"/>
    <w:rPr>
      <w:b/>
      <w:bCs/>
      <w:kern w:val="44"/>
      <w:sz w:val="44"/>
      <w:szCs w:val="44"/>
    </w:rPr>
  </w:style>
  <w:style w:type="character" w:customStyle="1" w:styleId="36">
    <w:name w:val="标题 2 字符"/>
    <w:link w:val="3"/>
    <w:qFormat/>
    <w:uiPriority w:val="0"/>
    <w:rPr>
      <w:rFonts w:ascii="Arial" w:hAnsi="Arial" w:eastAsia="黑体"/>
      <w:b/>
      <w:bCs/>
      <w:kern w:val="2"/>
      <w:sz w:val="32"/>
      <w:szCs w:val="32"/>
    </w:rPr>
  </w:style>
  <w:style w:type="character" w:customStyle="1" w:styleId="37">
    <w:name w:val="标题 3 字符"/>
    <w:link w:val="4"/>
    <w:qFormat/>
    <w:uiPriority w:val="0"/>
    <w:rPr>
      <w:b/>
      <w:bCs/>
      <w:kern w:val="2"/>
      <w:sz w:val="32"/>
      <w:szCs w:val="32"/>
    </w:rPr>
  </w:style>
  <w:style w:type="character" w:customStyle="1" w:styleId="38">
    <w:name w:val="标题 4 字符"/>
    <w:link w:val="5"/>
    <w:qFormat/>
    <w:uiPriority w:val="0"/>
    <w:rPr>
      <w:rFonts w:ascii="Arial" w:hAnsi="Arial" w:eastAsia="黑体"/>
      <w:b/>
      <w:bCs/>
      <w:kern w:val="2"/>
      <w:sz w:val="28"/>
      <w:szCs w:val="28"/>
    </w:rPr>
  </w:style>
  <w:style w:type="character" w:customStyle="1" w:styleId="39">
    <w:name w:val="标题 5 字符"/>
    <w:link w:val="6"/>
    <w:qFormat/>
    <w:uiPriority w:val="0"/>
    <w:rPr>
      <w:b/>
      <w:bCs/>
      <w:kern w:val="2"/>
      <w:sz w:val="28"/>
      <w:szCs w:val="28"/>
    </w:rPr>
  </w:style>
  <w:style w:type="character" w:customStyle="1" w:styleId="40">
    <w:name w:val="标题 6 字符"/>
    <w:link w:val="7"/>
    <w:qFormat/>
    <w:uiPriority w:val="0"/>
    <w:rPr>
      <w:rFonts w:ascii="Arial" w:hAnsi="Arial" w:eastAsia="黑体"/>
      <w:b/>
      <w:bCs/>
      <w:kern w:val="2"/>
      <w:sz w:val="24"/>
      <w:szCs w:val="24"/>
    </w:rPr>
  </w:style>
  <w:style w:type="character" w:customStyle="1" w:styleId="41">
    <w:name w:val="标题 7 字符"/>
    <w:link w:val="8"/>
    <w:qFormat/>
    <w:uiPriority w:val="0"/>
    <w:rPr>
      <w:b/>
      <w:bCs/>
      <w:kern w:val="2"/>
      <w:sz w:val="24"/>
      <w:szCs w:val="24"/>
    </w:rPr>
  </w:style>
  <w:style w:type="character" w:customStyle="1" w:styleId="42">
    <w:name w:val="标题 8 字符"/>
    <w:link w:val="9"/>
    <w:qFormat/>
    <w:uiPriority w:val="0"/>
    <w:rPr>
      <w:rFonts w:ascii="Arial" w:hAnsi="Arial" w:eastAsia="黑体"/>
      <w:kern w:val="2"/>
      <w:sz w:val="24"/>
      <w:szCs w:val="24"/>
    </w:rPr>
  </w:style>
  <w:style w:type="character" w:customStyle="1" w:styleId="43">
    <w:name w:val="标题 9 字符"/>
    <w:link w:val="10"/>
    <w:qFormat/>
    <w:uiPriority w:val="0"/>
    <w:rPr>
      <w:rFonts w:ascii="Arial" w:hAnsi="Arial" w:eastAsia="黑体"/>
      <w:kern w:val="2"/>
      <w:sz w:val="21"/>
      <w:szCs w:val="21"/>
    </w:rPr>
  </w:style>
  <w:style w:type="character" w:customStyle="1" w:styleId="44">
    <w:name w:val="页眉 字符"/>
    <w:link w:val="19"/>
    <w:qFormat/>
    <w:uiPriority w:val="99"/>
    <w:rPr>
      <w:kern w:val="2"/>
      <w:sz w:val="18"/>
      <w:szCs w:val="18"/>
    </w:rPr>
  </w:style>
  <w:style w:type="character" w:customStyle="1" w:styleId="45">
    <w:name w:val="页脚 字符"/>
    <w:link w:val="18"/>
    <w:qFormat/>
    <w:uiPriority w:val="99"/>
    <w:rPr>
      <w:rFonts w:ascii="宋体"/>
      <w:kern w:val="2"/>
      <w:sz w:val="18"/>
      <w:szCs w:val="18"/>
    </w:rPr>
  </w:style>
  <w:style w:type="character" w:customStyle="1" w:styleId="46">
    <w:name w:val="批注框文本 字符"/>
    <w:link w:val="17"/>
    <w:semiHidden/>
    <w:qFormat/>
    <w:uiPriority w:val="99"/>
    <w:rPr>
      <w:kern w:val="2"/>
      <w:sz w:val="18"/>
      <w:szCs w:val="18"/>
    </w:rPr>
  </w:style>
  <w:style w:type="paragraph" w:styleId="47">
    <w:name w:val="Quote"/>
    <w:basedOn w:val="1"/>
    <w:next w:val="1"/>
    <w:link w:val="48"/>
    <w:qFormat/>
    <w:uiPriority w:val="29"/>
    <w:rPr>
      <w:i/>
      <w:iCs/>
      <w:color w:val="000000"/>
    </w:rPr>
  </w:style>
  <w:style w:type="character" w:customStyle="1" w:styleId="48">
    <w:name w:val="引用 字符"/>
    <w:link w:val="47"/>
    <w:qFormat/>
    <w:uiPriority w:val="29"/>
    <w:rPr>
      <w:i/>
      <w:iCs/>
      <w:color w:val="000000"/>
      <w:kern w:val="2"/>
      <w:sz w:val="21"/>
      <w:szCs w:val="21"/>
    </w:rPr>
  </w:style>
  <w:style w:type="character" w:customStyle="1" w:styleId="49">
    <w:name w:val="标题 字符"/>
    <w:link w:val="26"/>
    <w:qFormat/>
    <w:uiPriority w:val="0"/>
    <w:rPr>
      <w:rFonts w:ascii="Arial" w:hAnsi="Arial" w:cs="Arial"/>
      <w:b/>
      <w:bCs/>
      <w:kern w:val="2"/>
      <w:sz w:val="32"/>
      <w:szCs w:val="32"/>
    </w:rPr>
  </w:style>
  <w:style w:type="paragraph" w:customStyle="1" w:styleId="50">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1">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2">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3">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4">
    <w:name w:val="标准书眉一"/>
    <w:qFormat/>
    <w:uiPriority w:val="0"/>
    <w:pPr>
      <w:jc w:val="both"/>
    </w:pPr>
    <w:rPr>
      <w:rFonts w:ascii="Times New Roman" w:hAnsi="Times New Roman" w:eastAsia="宋体" w:cs="Times New Roman"/>
      <w:lang w:val="en-US" w:eastAsia="zh-CN" w:bidi="ar-SA"/>
    </w:rPr>
  </w:style>
  <w:style w:type="paragraph" w:customStyle="1" w:styleId="55">
    <w:name w:val="标准文件_ICS"/>
    <w:basedOn w:val="1"/>
    <w:qFormat/>
    <w:uiPriority w:val="0"/>
    <w:pPr>
      <w:spacing w:line="0" w:lineRule="atLeast"/>
    </w:pPr>
    <w:rPr>
      <w:rFonts w:ascii="黑体" w:hAnsi="宋体" w:eastAsia="黑体"/>
    </w:rPr>
  </w:style>
  <w:style w:type="paragraph" w:customStyle="1" w:styleId="56">
    <w:name w:val="标准文件_标准正文"/>
    <w:basedOn w:val="1"/>
    <w:next w:val="57"/>
    <w:qFormat/>
    <w:uiPriority w:val="0"/>
    <w:pPr>
      <w:snapToGrid w:val="0"/>
      <w:ind w:firstLine="200" w:firstLineChars="200"/>
    </w:pPr>
    <w:rPr>
      <w:kern w:val="0"/>
    </w:rPr>
  </w:style>
  <w:style w:type="paragraph" w:customStyle="1" w:styleId="57">
    <w:name w:val="标准文件_段"/>
    <w:link w:val="185"/>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标准文件_版本"/>
    <w:basedOn w:val="56"/>
    <w:qFormat/>
    <w:uiPriority w:val="0"/>
    <w:pPr>
      <w:adjustRightInd/>
      <w:snapToGrid/>
      <w:ind w:firstLine="0" w:firstLineChars="0"/>
    </w:pPr>
    <w:rPr>
      <w:rFonts w:ascii="宋体" w:hAnsi="宋体"/>
      <w:kern w:val="2"/>
    </w:rPr>
  </w:style>
  <w:style w:type="paragraph" w:customStyle="1" w:styleId="59">
    <w:name w:val="标准文件_标准部门"/>
    <w:basedOn w:val="1"/>
    <w:qFormat/>
    <w:uiPriority w:val="0"/>
    <w:pPr>
      <w:jc w:val="center"/>
    </w:pPr>
    <w:rPr>
      <w:rFonts w:ascii="黑体" w:eastAsia="黑体"/>
      <w:kern w:val="0"/>
      <w:sz w:val="44"/>
    </w:rPr>
  </w:style>
  <w:style w:type="paragraph" w:customStyle="1" w:styleId="60">
    <w:name w:val="标准文件_标准代替"/>
    <w:basedOn w:val="1"/>
    <w:next w:val="1"/>
    <w:qFormat/>
    <w:uiPriority w:val="0"/>
    <w:pPr>
      <w:spacing w:line="310" w:lineRule="exact"/>
      <w:jc w:val="right"/>
    </w:pPr>
    <w:rPr>
      <w:rFonts w:ascii="宋体" w:hAnsi="宋体"/>
      <w:kern w:val="0"/>
    </w:rPr>
  </w:style>
  <w:style w:type="paragraph" w:customStyle="1" w:styleId="61">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2">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3">
    <w:name w:val="标准文件_页眉偶数页"/>
    <w:basedOn w:val="62"/>
    <w:next w:val="1"/>
    <w:uiPriority w:val="0"/>
    <w:pPr>
      <w:jc w:val="left"/>
    </w:pPr>
  </w:style>
  <w:style w:type="paragraph" w:customStyle="1" w:styleId="64">
    <w:name w:val="标准文件_参考文献标题"/>
    <w:basedOn w:val="1"/>
    <w:next w:val="1"/>
    <w:qFormat/>
    <w:uiPriority w:val="0"/>
    <w:pPr>
      <w:widowControl/>
      <w:shd w:val="clear" w:color="FFFFFF" w:fill="FFFFFF"/>
      <w:adjustRightInd/>
      <w:spacing w:before="580" w:after="50" w:afterLines="50" w:line="240" w:lineRule="auto"/>
      <w:jc w:val="center"/>
      <w:outlineLvl w:val="0"/>
    </w:pPr>
    <w:rPr>
      <w:rFonts w:ascii="黑体" w:eastAsia="黑体"/>
      <w:kern w:val="0"/>
    </w:rPr>
  </w:style>
  <w:style w:type="paragraph" w:customStyle="1" w:styleId="65">
    <w:name w:val="标准文件_参考文献条目"/>
    <w:qFormat/>
    <w:uiPriority w:val="0"/>
    <w:pPr>
      <w:numPr>
        <w:ilvl w:val="0"/>
        <w:numId w:val="1"/>
      </w:numPr>
    </w:pPr>
    <w:rPr>
      <w:rFonts w:ascii="宋体" w:hAnsi="Times New Roman" w:eastAsia="宋体" w:cs="Times New Roman"/>
      <w:lang w:val="en-US" w:eastAsia="zh-CN" w:bidi="ar-SA"/>
    </w:rPr>
  </w:style>
  <w:style w:type="paragraph" w:customStyle="1" w:styleId="66">
    <w:name w:val="标准文件_二级条标题"/>
    <w:next w:val="57"/>
    <w:qFormat/>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7">
    <w:name w:val="标准文件_发布"/>
    <w:qFormat/>
    <w:uiPriority w:val="0"/>
    <w:rPr>
      <w:rFonts w:ascii="黑体" w:eastAsia="黑体"/>
      <w:spacing w:val="0"/>
      <w:w w:val="100"/>
      <w:position w:val="3"/>
      <w:sz w:val="28"/>
    </w:rPr>
  </w:style>
  <w:style w:type="paragraph" w:customStyle="1" w:styleId="68">
    <w:name w:val="标准文件_方框数字列项"/>
    <w:basedOn w:val="57"/>
    <w:qFormat/>
    <w:uiPriority w:val="0"/>
    <w:pPr>
      <w:numPr>
        <w:ilvl w:val="0"/>
        <w:numId w:val="3"/>
      </w:numPr>
      <w:ind w:firstLine="0" w:firstLineChars="0"/>
    </w:pPr>
  </w:style>
  <w:style w:type="paragraph" w:customStyle="1" w:styleId="69">
    <w:name w:val="标准文件_封面标准编号"/>
    <w:basedOn w:val="1"/>
    <w:next w:val="60"/>
    <w:qFormat/>
    <w:uiPriority w:val="0"/>
    <w:pPr>
      <w:spacing w:line="310" w:lineRule="exact"/>
      <w:jc w:val="right"/>
    </w:pPr>
    <w:rPr>
      <w:rFonts w:ascii="黑体" w:eastAsia="黑体"/>
      <w:kern w:val="0"/>
      <w:sz w:val="28"/>
    </w:rPr>
  </w:style>
  <w:style w:type="paragraph" w:customStyle="1" w:styleId="70">
    <w:name w:val="标准文件_封面标准分类号"/>
    <w:basedOn w:val="1"/>
    <w:qFormat/>
    <w:uiPriority w:val="0"/>
    <w:rPr>
      <w:rFonts w:ascii="黑体" w:eastAsia="黑体"/>
      <w:b/>
      <w:kern w:val="0"/>
      <w:sz w:val="28"/>
    </w:rPr>
  </w:style>
  <w:style w:type="paragraph" w:customStyle="1" w:styleId="71">
    <w:name w:val="标准文件_封面标准名称"/>
    <w:basedOn w:val="1"/>
    <w:qFormat/>
    <w:uiPriority w:val="0"/>
    <w:pPr>
      <w:spacing w:line="240" w:lineRule="auto"/>
      <w:jc w:val="center"/>
    </w:pPr>
    <w:rPr>
      <w:rFonts w:ascii="黑体" w:eastAsia="黑体"/>
      <w:kern w:val="0"/>
      <w:sz w:val="52"/>
    </w:rPr>
  </w:style>
  <w:style w:type="paragraph" w:customStyle="1" w:styleId="72">
    <w:name w:val="标准文件_封面标准英文名称"/>
    <w:basedOn w:val="1"/>
    <w:qFormat/>
    <w:uiPriority w:val="0"/>
    <w:pPr>
      <w:spacing w:line="240" w:lineRule="auto"/>
      <w:jc w:val="center"/>
    </w:pPr>
    <w:rPr>
      <w:rFonts w:ascii="黑体" w:eastAsia="黑体"/>
      <w:b/>
      <w:sz w:val="28"/>
    </w:rPr>
  </w:style>
  <w:style w:type="paragraph" w:customStyle="1" w:styleId="73">
    <w:name w:val="标准文件_封面发布日期"/>
    <w:basedOn w:val="1"/>
    <w:uiPriority w:val="0"/>
    <w:pPr>
      <w:spacing w:line="310" w:lineRule="exact"/>
    </w:pPr>
    <w:rPr>
      <w:rFonts w:ascii="黑体" w:eastAsia="黑体"/>
      <w:kern w:val="0"/>
      <w:sz w:val="28"/>
    </w:rPr>
  </w:style>
  <w:style w:type="paragraph" w:customStyle="1" w:styleId="74">
    <w:name w:val="标准文件_封面密级"/>
    <w:basedOn w:val="1"/>
    <w:uiPriority w:val="0"/>
    <w:rPr>
      <w:rFonts w:eastAsia="黑体"/>
      <w:sz w:val="32"/>
    </w:rPr>
  </w:style>
  <w:style w:type="paragraph" w:customStyle="1" w:styleId="75">
    <w:name w:val="标准文件_封面实施日期"/>
    <w:basedOn w:val="1"/>
    <w:qFormat/>
    <w:uiPriority w:val="0"/>
    <w:pPr>
      <w:spacing w:line="310" w:lineRule="exact"/>
      <w:jc w:val="right"/>
    </w:pPr>
    <w:rPr>
      <w:rFonts w:ascii="黑体" w:eastAsia="黑体"/>
      <w:sz w:val="28"/>
    </w:rPr>
  </w:style>
  <w:style w:type="paragraph" w:customStyle="1" w:styleId="76">
    <w:name w:val="标准文件_封面抬头"/>
    <w:basedOn w:val="57"/>
    <w:qFormat/>
    <w:uiPriority w:val="0"/>
    <w:pPr>
      <w:adjustRightInd w:val="0"/>
      <w:spacing w:line="800" w:lineRule="exact"/>
      <w:ind w:firstLine="0" w:firstLineChars="0"/>
      <w:jc w:val="distribute"/>
    </w:pPr>
    <w:rPr>
      <w:rFonts w:ascii="黑体" w:eastAsia="黑体"/>
      <w:b/>
      <w:sz w:val="64"/>
    </w:rPr>
  </w:style>
  <w:style w:type="paragraph" w:customStyle="1" w:styleId="77">
    <w:name w:val="标准文件_附录标识"/>
    <w:next w:val="57"/>
    <w:qFormat/>
    <w:uiPriority w:val="0"/>
    <w:pPr>
      <w:numPr>
        <w:ilvl w:val="0"/>
        <w:numId w:val="4"/>
      </w:numPr>
      <w:shd w:val="clear" w:color="FFFFFF" w:fill="FFFFFF"/>
      <w:tabs>
        <w:tab w:val="left" w:pos="6406"/>
      </w:tabs>
      <w:spacing w:before="560" w:after="50" w:afterLines="50"/>
      <w:jc w:val="center"/>
      <w:outlineLvl w:val="0"/>
    </w:pPr>
    <w:rPr>
      <w:rFonts w:ascii="黑体" w:hAnsi="Times New Roman" w:eastAsia="黑体" w:cs="Times New Roman"/>
      <w:sz w:val="21"/>
      <w:lang w:val="en-US" w:eastAsia="zh-CN" w:bidi="ar-SA"/>
    </w:rPr>
  </w:style>
  <w:style w:type="paragraph" w:customStyle="1" w:styleId="78">
    <w:name w:val="标准文件_附录表标题"/>
    <w:next w:val="57"/>
    <w:qFormat/>
    <w:uiPriority w:val="0"/>
    <w:pPr>
      <w:numPr>
        <w:ilvl w:val="1"/>
        <w:numId w:val="5"/>
      </w:numPr>
      <w:adjustRightInd w:val="0"/>
      <w:snapToGrid w:val="0"/>
      <w:spacing w:before="50" w:beforeLines="50" w:after="50" w:afterLines="50"/>
      <w:jc w:val="center"/>
      <w:textAlignment w:val="baseline"/>
    </w:pPr>
    <w:rPr>
      <w:rFonts w:ascii="黑体" w:hAnsi="Times New Roman" w:eastAsia="黑体" w:cs="Times New Roman"/>
      <w:kern w:val="21"/>
      <w:sz w:val="21"/>
      <w:lang w:val="en-US" w:eastAsia="zh-CN" w:bidi="ar-SA"/>
    </w:rPr>
  </w:style>
  <w:style w:type="paragraph" w:customStyle="1" w:styleId="79">
    <w:name w:val="标准文件_附录一级条标题"/>
    <w:next w:val="57"/>
    <w:qFormat/>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80">
    <w:name w:val="标准文件_附录二级条标题"/>
    <w:basedOn w:val="79"/>
    <w:next w:val="57"/>
    <w:qFormat/>
    <w:uiPriority w:val="0"/>
    <w:pPr>
      <w:widowControl/>
      <w:numPr>
        <w:ilvl w:val="2"/>
      </w:numPr>
      <w:wordWrap w:val="0"/>
      <w:overflowPunct w:val="0"/>
      <w:autoSpaceDE w:val="0"/>
      <w:autoSpaceDN w:val="0"/>
      <w:textAlignment w:val="baseline"/>
      <w:outlineLvl w:val="3"/>
    </w:pPr>
  </w:style>
  <w:style w:type="paragraph" w:customStyle="1" w:styleId="81">
    <w:name w:val="标准文件_附录公式"/>
    <w:basedOn w:val="56"/>
    <w:next w:val="56"/>
    <w:qFormat/>
    <w:uiPriority w:val="0"/>
    <w:pPr>
      <w:tabs>
        <w:tab w:val="center" w:pos="4678"/>
        <w:tab w:val="right" w:leader="middleDot" w:pos="9356"/>
      </w:tabs>
      <w:spacing w:line="240" w:lineRule="auto"/>
      <w:ind w:right="-51" w:firstLine="0" w:firstLineChars="0"/>
    </w:pPr>
    <w:rPr>
      <w:rFonts w:ascii="宋体" w:hAnsi="宋体"/>
    </w:rPr>
  </w:style>
  <w:style w:type="paragraph" w:customStyle="1" w:styleId="82">
    <w:name w:val="标准文件_附录三级条标题"/>
    <w:next w:val="57"/>
    <w:qFormat/>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3">
    <w:name w:val="标准文件_附录四级条标题"/>
    <w:next w:val="57"/>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4">
    <w:name w:val="标准文件_附录图标题"/>
    <w:next w:val="57"/>
    <w:qFormat/>
    <w:uiPriority w:val="0"/>
    <w:pPr>
      <w:numPr>
        <w:ilvl w:val="1"/>
        <w:numId w:val="6"/>
      </w:numPr>
      <w:adjustRightInd w:val="0"/>
      <w:snapToGrid w:val="0"/>
      <w:spacing w:before="50" w:beforeLines="50" w:after="50" w:afterLines="50"/>
      <w:jc w:val="center"/>
    </w:pPr>
    <w:rPr>
      <w:rFonts w:ascii="黑体" w:hAnsi="Times New Roman" w:eastAsia="黑体" w:cs="Times New Roman"/>
      <w:sz w:val="21"/>
      <w:lang w:val="en-US" w:eastAsia="zh-CN" w:bidi="ar-SA"/>
    </w:rPr>
  </w:style>
  <w:style w:type="paragraph" w:customStyle="1" w:styleId="85">
    <w:name w:val="标准文件_附录五级条标题"/>
    <w:next w:val="57"/>
    <w:qFormat/>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6">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7">
    <w:name w:val="正文文本 字符"/>
    <w:link w:val="13"/>
    <w:uiPriority w:val="0"/>
    <w:rPr>
      <w:kern w:val="2"/>
      <w:sz w:val="21"/>
      <w:szCs w:val="21"/>
    </w:rPr>
  </w:style>
  <w:style w:type="paragraph" w:customStyle="1" w:styleId="88">
    <w:name w:val="标准文件_附录章标题"/>
    <w:next w:val="57"/>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9">
    <w:name w:val="标准文件_公式后的破折号"/>
    <w:basedOn w:val="57"/>
    <w:next w:val="57"/>
    <w:uiPriority w:val="0"/>
    <w:pPr>
      <w:ind w:left="488" w:leftChars="200" w:hanging="289" w:hangingChars="290"/>
    </w:pPr>
  </w:style>
  <w:style w:type="paragraph" w:customStyle="1" w:styleId="90">
    <w:name w:val="标准文件_前言、引言标题"/>
    <w:next w:val="1"/>
    <w:qFormat/>
    <w:uiPriority w:val="0"/>
    <w:pPr>
      <w:numPr>
        <w:ilvl w:val="0"/>
        <w:numId w:val="8"/>
      </w:numPr>
      <w:shd w:val="clear" w:color="FFFFFF" w:fill="FFFFFF"/>
      <w:spacing w:before="480" w:after="150" w:afterLines="150"/>
      <w:jc w:val="center"/>
      <w:outlineLvl w:val="0"/>
    </w:pPr>
    <w:rPr>
      <w:rFonts w:ascii="黑体" w:hAnsi="Times New Roman" w:eastAsia="黑体" w:cs="Times New Roman"/>
      <w:sz w:val="32"/>
      <w:lang w:val="en-US" w:eastAsia="zh-CN" w:bidi="ar-SA"/>
    </w:rPr>
  </w:style>
  <w:style w:type="paragraph" w:customStyle="1" w:styleId="91">
    <w:name w:val="标准文件_目次、标准名称标题"/>
    <w:basedOn w:val="90"/>
    <w:next w:val="57"/>
    <w:qFormat/>
    <w:uiPriority w:val="0"/>
    <w:pPr>
      <w:spacing w:line="460" w:lineRule="exact"/>
      <w:ind w:left="0" w:firstLine="0"/>
    </w:pPr>
  </w:style>
  <w:style w:type="paragraph" w:customStyle="1" w:styleId="92">
    <w:name w:val="标准文件_目录标题"/>
    <w:basedOn w:val="1"/>
    <w:qFormat/>
    <w:uiPriority w:val="0"/>
    <w:pPr>
      <w:spacing w:before="480" w:after="150" w:afterLines="150" w:line="240" w:lineRule="auto"/>
      <w:jc w:val="center"/>
    </w:pPr>
    <w:rPr>
      <w:rFonts w:ascii="黑体" w:eastAsia="黑体"/>
      <w:sz w:val="32"/>
    </w:rPr>
  </w:style>
  <w:style w:type="paragraph" w:customStyle="1" w:styleId="93">
    <w:name w:val="标准文件_破折号列项"/>
    <w:qFormat/>
    <w:uiPriority w:val="0"/>
    <w:pPr>
      <w:numPr>
        <w:ilvl w:val="0"/>
        <w:numId w:val="9"/>
      </w:numPr>
      <w:adjustRightInd w:val="0"/>
      <w:snapToGrid w:val="0"/>
      <w:ind w:firstLine="200" w:firstLineChars="200"/>
    </w:pPr>
    <w:rPr>
      <w:rFonts w:ascii="Times New Roman" w:hAnsi="Times New Roman" w:eastAsia="宋体" w:cs="Times New Roman"/>
      <w:sz w:val="21"/>
      <w:lang w:val="en-US" w:eastAsia="zh-CN" w:bidi="ar-SA"/>
    </w:rPr>
  </w:style>
  <w:style w:type="paragraph" w:customStyle="1" w:styleId="94">
    <w:name w:val="标准文件_破折号列项（二级）"/>
    <w:basedOn w:val="93"/>
    <w:qFormat/>
    <w:uiPriority w:val="0"/>
    <w:pPr>
      <w:numPr>
        <w:numId w:val="10"/>
      </w:numPr>
    </w:pPr>
  </w:style>
  <w:style w:type="paragraph" w:customStyle="1" w:styleId="95">
    <w:name w:val="标准文件_三级条标题"/>
    <w:basedOn w:val="66"/>
    <w:next w:val="57"/>
    <w:uiPriority w:val="0"/>
    <w:pPr>
      <w:widowControl/>
      <w:numPr>
        <w:ilvl w:val="4"/>
      </w:numPr>
      <w:outlineLvl w:val="3"/>
    </w:pPr>
  </w:style>
  <w:style w:type="character" w:customStyle="1" w:styleId="96">
    <w:name w:val="Subtle Reference"/>
    <w:qFormat/>
    <w:uiPriority w:val="31"/>
    <w:rPr>
      <w:smallCaps/>
      <w:color w:val="C0504D"/>
      <w:u w:val="single"/>
    </w:rPr>
  </w:style>
  <w:style w:type="paragraph" w:customStyle="1" w:styleId="97">
    <w:name w:val="标准文件_示例后续"/>
    <w:basedOn w:val="1"/>
    <w:qFormat/>
    <w:uiPriority w:val="0"/>
    <w:pPr>
      <w:adjustRightInd/>
      <w:spacing w:line="240" w:lineRule="auto"/>
      <w:ind w:firstLine="200" w:firstLineChars="200"/>
    </w:pPr>
    <w:rPr>
      <w:sz w:val="18"/>
      <w:szCs w:val="24"/>
    </w:rPr>
  </w:style>
  <w:style w:type="paragraph" w:customStyle="1" w:styleId="98">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9">
    <w:name w:val="标准文件_四级条标题"/>
    <w:next w:val="57"/>
    <w:qFormat/>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100">
    <w:name w:val="脚注文本 字符"/>
    <w:link w:val="22"/>
    <w:semiHidden/>
    <w:qFormat/>
    <w:uiPriority w:val="0"/>
    <w:rPr>
      <w:rFonts w:ascii="宋体"/>
      <w:kern w:val="2"/>
      <w:sz w:val="18"/>
      <w:szCs w:val="18"/>
    </w:rPr>
  </w:style>
  <w:style w:type="paragraph" w:customStyle="1" w:styleId="101">
    <w:name w:val="标准文件_条文脚注"/>
    <w:basedOn w:val="22"/>
    <w:qFormat/>
    <w:uiPriority w:val="0"/>
    <w:pPr>
      <w:adjustRightInd w:val="0"/>
      <w:spacing w:line="240" w:lineRule="auto"/>
      <w:ind w:left="0" w:leftChars="0" w:firstLine="200" w:firstLineChars="200"/>
      <w:jc w:val="both"/>
    </w:pPr>
    <w:rPr>
      <w:rFonts w:hAnsi="宋体"/>
    </w:rPr>
  </w:style>
  <w:style w:type="paragraph" w:customStyle="1" w:styleId="102">
    <w:name w:val="标准文件_图表脚注"/>
    <w:basedOn w:val="1"/>
    <w:next w:val="57"/>
    <w:qFormat/>
    <w:uiPriority w:val="0"/>
    <w:pPr>
      <w:numPr>
        <w:ilvl w:val="0"/>
        <w:numId w:val="12"/>
      </w:numPr>
      <w:spacing w:line="240" w:lineRule="auto"/>
      <w:jc w:val="left"/>
    </w:pPr>
    <w:rPr>
      <w:rFonts w:ascii="宋体" w:hAnsi="宋体"/>
      <w:sz w:val="18"/>
    </w:rPr>
  </w:style>
  <w:style w:type="character" w:customStyle="1" w:styleId="103">
    <w:name w:val="标准文件_图表脚注内容"/>
    <w:qFormat/>
    <w:uiPriority w:val="0"/>
    <w:rPr>
      <w:rFonts w:ascii="宋体" w:hAnsi="宋体" w:eastAsia="宋体" w:cs="Times New Roman"/>
      <w:spacing w:val="0"/>
      <w:sz w:val="18"/>
      <w:vertAlign w:val="superscript"/>
    </w:rPr>
  </w:style>
  <w:style w:type="paragraph" w:customStyle="1" w:styleId="104">
    <w:name w:val="标准文件_五级条标题"/>
    <w:next w:val="57"/>
    <w:qFormat/>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5">
    <w:name w:val="标准文件_章标题"/>
    <w:next w:val="57"/>
    <w:uiPriority w:val="0"/>
    <w:pPr>
      <w:numPr>
        <w:ilvl w:val="1"/>
        <w:numId w:val="2"/>
      </w:numPr>
      <w:spacing w:before="100" w:beforeLines="100" w:after="100" w:afterLines="100"/>
      <w:ind w:left="0"/>
      <w:jc w:val="both"/>
      <w:outlineLvl w:val="0"/>
    </w:pPr>
    <w:rPr>
      <w:rFonts w:ascii="黑体" w:hAnsi="Times New Roman" w:eastAsia="黑体" w:cs="Times New Roman"/>
      <w:sz w:val="21"/>
      <w:lang w:val="en-US" w:eastAsia="zh-CN" w:bidi="ar-SA"/>
    </w:rPr>
  </w:style>
  <w:style w:type="paragraph" w:customStyle="1" w:styleId="106">
    <w:name w:val="标准文件_一级条标题"/>
    <w:basedOn w:val="105"/>
    <w:next w:val="57"/>
    <w:qFormat/>
    <w:uiPriority w:val="0"/>
    <w:pPr>
      <w:numPr>
        <w:ilvl w:val="2"/>
      </w:numPr>
      <w:spacing w:before="50" w:beforeLines="50" w:after="50" w:afterLines="50"/>
      <w:outlineLvl w:val="1"/>
    </w:pPr>
  </w:style>
  <w:style w:type="paragraph" w:customStyle="1" w:styleId="107">
    <w:name w:val="标准文件_一致程度"/>
    <w:basedOn w:val="1"/>
    <w:qFormat/>
    <w:uiPriority w:val="0"/>
    <w:pPr>
      <w:spacing w:line="440" w:lineRule="exact"/>
      <w:jc w:val="center"/>
    </w:pPr>
    <w:rPr>
      <w:sz w:val="28"/>
    </w:rPr>
  </w:style>
  <w:style w:type="paragraph" w:customStyle="1" w:styleId="108">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9">
    <w:name w:val="标准文件_英文图表脚注"/>
    <w:basedOn w:val="56"/>
    <w:qFormat/>
    <w:uiPriority w:val="0"/>
    <w:pPr>
      <w:widowControl/>
      <w:adjustRightInd/>
      <w:snapToGrid/>
      <w:spacing w:line="240" w:lineRule="auto"/>
      <w:ind w:left="79" w:hanging="79" w:hangingChars="80"/>
    </w:pPr>
    <w:rPr>
      <w:rFonts w:ascii="宋体" w:hAnsi="宋体"/>
    </w:rPr>
  </w:style>
  <w:style w:type="paragraph" w:customStyle="1" w:styleId="110">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1">
    <w:name w:val="标准文件_英文注："/>
    <w:basedOn w:val="1"/>
    <w:next w:val="57"/>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2">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3">
    <w:name w:val="标准文件_正文表标题"/>
    <w:next w:val="57"/>
    <w:qFormat/>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4">
    <w:name w:val="标准文件_正文公式"/>
    <w:basedOn w:val="1"/>
    <w:next w:val="56"/>
    <w:qFormat/>
    <w:uiPriority w:val="0"/>
    <w:pPr>
      <w:tabs>
        <w:tab w:val="center" w:pos="4678"/>
        <w:tab w:val="right" w:leader="middleDot" w:pos="9356"/>
      </w:tabs>
      <w:spacing w:line="240" w:lineRule="auto"/>
    </w:pPr>
    <w:rPr>
      <w:rFonts w:ascii="宋体" w:hAnsi="宋体"/>
    </w:rPr>
  </w:style>
  <w:style w:type="paragraph" w:customStyle="1" w:styleId="115">
    <w:name w:val="标准文件_正文图标题"/>
    <w:next w:val="57"/>
    <w:qFormat/>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6">
    <w:name w:val="标准文件_正文英文表标题"/>
    <w:next w:val="57"/>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7">
    <w:name w:val="标准文件_正文英文图标题"/>
    <w:next w:val="57"/>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8">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9">
    <w:name w:val="二级无标题条"/>
    <w:basedOn w:val="1"/>
    <w:qFormat/>
    <w:uiPriority w:val="0"/>
    <w:pPr>
      <w:numPr>
        <w:ilvl w:val="3"/>
        <w:numId w:val="20"/>
      </w:numPr>
      <w:adjustRightInd/>
      <w:spacing w:line="240" w:lineRule="auto"/>
    </w:pPr>
    <w:rPr>
      <w:rFonts w:ascii="宋体" w:hAnsi="宋体"/>
      <w:szCs w:val="24"/>
    </w:rPr>
  </w:style>
  <w:style w:type="paragraph" w:customStyle="1" w:styleId="120">
    <w:name w:val="发布部门"/>
    <w:next w:val="57"/>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2">
    <w:name w:val="封面标准代替信息"/>
    <w:basedOn w:val="1"/>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4">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5">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6">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7">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8">
    <w:name w:val="封面正文"/>
    <w:uiPriority w:val="0"/>
    <w:pPr>
      <w:jc w:val="both"/>
    </w:pPr>
    <w:rPr>
      <w:rFonts w:ascii="Times New Roman" w:hAnsi="Times New Roman" w:eastAsia="宋体" w:cs="Times New Roman"/>
      <w:lang w:val="en-US" w:eastAsia="zh-CN" w:bidi="ar-SA"/>
    </w:rPr>
  </w:style>
  <w:style w:type="paragraph" w:customStyle="1" w:styleId="129">
    <w:name w:val="附录二级无标题条"/>
    <w:basedOn w:val="1"/>
    <w:next w:val="57"/>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30">
    <w:name w:val="附录三级无标题条"/>
    <w:basedOn w:val="129"/>
    <w:next w:val="57"/>
    <w:qFormat/>
    <w:uiPriority w:val="0"/>
    <w:pPr>
      <w:outlineLvl w:val="4"/>
    </w:pPr>
  </w:style>
  <w:style w:type="paragraph" w:customStyle="1" w:styleId="131">
    <w:name w:val="附录四级无标题条"/>
    <w:basedOn w:val="130"/>
    <w:next w:val="57"/>
    <w:qFormat/>
    <w:uiPriority w:val="0"/>
    <w:pPr>
      <w:outlineLvl w:val="5"/>
    </w:pPr>
  </w:style>
  <w:style w:type="paragraph" w:customStyle="1" w:styleId="132">
    <w:name w:val="附录图"/>
    <w:next w:val="57"/>
    <w:qFormat/>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3">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4">
    <w:name w:val="附录五级无标题条"/>
    <w:basedOn w:val="131"/>
    <w:next w:val="57"/>
    <w:qFormat/>
    <w:uiPriority w:val="0"/>
    <w:pPr>
      <w:outlineLvl w:val="6"/>
    </w:pPr>
  </w:style>
  <w:style w:type="paragraph" w:customStyle="1" w:styleId="135">
    <w:name w:val="附录性质"/>
    <w:basedOn w:val="1"/>
    <w:qFormat/>
    <w:uiPriority w:val="0"/>
    <w:pPr>
      <w:widowControl/>
      <w:adjustRightInd/>
      <w:jc w:val="center"/>
    </w:pPr>
    <w:rPr>
      <w:rFonts w:ascii="黑体" w:eastAsia="黑体"/>
    </w:rPr>
  </w:style>
  <w:style w:type="paragraph" w:customStyle="1" w:styleId="136">
    <w:name w:val="附录一级无标题条"/>
    <w:basedOn w:val="88"/>
    <w:next w:val="57"/>
    <w:uiPriority w:val="0"/>
    <w:pPr>
      <w:autoSpaceDN w:val="0"/>
      <w:outlineLvl w:val="2"/>
    </w:pPr>
    <w:rPr>
      <w:rFonts w:ascii="宋体" w:hAnsi="宋体" w:eastAsia="宋体"/>
    </w:rPr>
  </w:style>
  <w:style w:type="character" w:customStyle="1" w:styleId="137">
    <w:name w:val="个人答复风格"/>
    <w:qFormat/>
    <w:uiPriority w:val="0"/>
    <w:rPr>
      <w:rFonts w:ascii="Arial" w:hAnsi="Arial" w:eastAsia="宋体" w:cs="Arial"/>
      <w:color w:val="auto"/>
      <w:spacing w:val="0"/>
      <w:sz w:val="20"/>
    </w:rPr>
  </w:style>
  <w:style w:type="character" w:customStyle="1" w:styleId="138">
    <w:name w:val="个人撰写风格"/>
    <w:qFormat/>
    <w:uiPriority w:val="0"/>
    <w:rPr>
      <w:rFonts w:ascii="Arial" w:hAnsi="Arial" w:eastAsia="宋体" w:cs="Arial"/>
      <w:color w:val="auto"/>
      <w:spacing w:val="0"/>
      <w:sz w:val="20"/>
    </w:rPr>
  </w:style>
  <w:style w:type="paragraph" w:customStyle="1" w:styleId="139">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40">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1">
    <w:name w:val="列项·"/>
    <w:basedOn w:val="57"/>
    <w:qFormat/>
    <w:uiPriority w:val="0"/>
    <w:pPr>
      <w:tabs>
        <w:tab w:val="left" w:pos="840"/>
      </w:tabs>
    </w:pPr>
  </w:style>
  <w:style w:type="paragraph" w:customStyle="1" w:styleId="14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3">
    <w:name w:val="目录 21"/>
    <w:basedOn w:val="1"/>
    <w:next w:val="1"/>
    <w:semiHidden/>
    <w:qFormat/>
    <w:uiPriority w:val="0"/>
    <w:pPr>
      <w:adjustRightInd/>
      <w:spacing w:line="240" w:lineRule="auto"/>
      <w:jc w:val="left"/>
    </w:pPr>
    <w:rPr>
      <w:bCs/>
      <w:iCs/>
    </w:rPr>
  </w:style>
  <w:style w:type="paragraph" w:customStyle="1" w:styleId="144">
    <w:name w:val="目录 31"/>
    <w:basedOn w:val="1"/>
    <w:next w:val="1"/>
    <w:semiHidden/>
    <w:uiPriority w:val="0"/>
    <w:pPr>
      <w:spacing w:line="240" w:lineRule="auto"/>
    </w:pPr>
    <w:rPr>
      <w:rFonts w:ascii="宋体" w:hAnsi="宋体"/>
      <w:iCs/>
    </w:rPr>
  </w:style>
  <w:style w:type="paragraph" w:customStyle="1" w:styleId="145">
    <w:name w:val="目录 41"/>
    <w:basedOn w:val="1"/>
    <w:next w:val="1"/>
    <w:semiHidden/>
    <w:uiPriority w:val="0"/>
    <w:pPr>
      <w:adjustRightInd/>
      <w:spacing w:line="240" w:lineRule="auto"/>
      <w:jc w:val="left"/>
    </w:pPr>
  </w:style>
  <w:style w:type="paragraph" w:customStyle="1" w:styleId="146">
    <w:name w:val="目录 51"/>
    <w:basedOn w:val="1"/>
    <w:next w:val="1"/>
    <w:semiHidden/>
    <w:qFormat/>
    <w:uiPriority w:val="0"/>
    <w:pPr>
      <w:spacing w:line="240" w:lineRule="auto"/>
    </w:pPr>
    <w:rPr>
      <w:rFonts w:ascii="宋体" w:hAnsi="宋体"/>
    </w:rPr>
  </w:style>
  <w:style w:type="paragraph" w:customStyle="1" w:styleId="147">
    <w:name w:val="目录 61"/>
    <w:basedOn w:val="1"/>
    <w:next w:val="1"/>
    <w:semiHidden/>
    <w:qFormat/>
    <w:uiPriority w:val="0"/>
    <w:pPr>
      <w:adjustRightInd/>
      <w:spacing w:line="240" w:lineRule="auto"/>
      <w:jc w:val="left"/>
    </w:pPr>
  </w:style>
  <w:style w:type="paragraph" w:customStyle="1" w:styleId="148">
    <w:name w:val="目录 71"/>
    <w:basedOn w:val="147"/>
    <w:semiHidden/>
    <w:qFormat/>
    <w:uiPriority w:val="0"/>
    <w:pPr>
      <w:ind w:left="1260"/>
    </w:pPr>
  </w:style>
  <w:style w:type="paragraph" w:customStyle="1" w:styleId="149">
    <w:name w:val="目录 81"/>
    <w:basedOn w:val="148"/>
    <w:semiHidden/>
    <w:qFormat/>
    <w:uiPriority w:val="0"/>
    <w:pPr>
      <w:ind w:left="1470"/>
    </w:pPr>
  </w:style>
  <w:style w:type="paragraph" w:customStyle="1" w:styleId="150">
    <w:name w:val="目录 91"/>
    <w:basedOn w:val="149"/>
    <w:semiHidden/>
    <w:uiPriority w:val="0"/>
    <w:pPr>
      <w:ind w:left="1680"/>
    </w:pPr>
  </w:style>
  <w:style w:type="paragraph" w:customStyle="1" w:styleId="151">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2">
    <w:name w:val="其他发布部门"/>
    <w:basedOn w:val="120"/>
    <w:uiPriority w:val="0"/>
    <w:pPr>
      <w:framePr w:wrap="around"/>
      <w:spacing w:line="0" w:lineRule="atLeast"/>
    </w:pPr>
    <w:rPr>
      <w:rFonts w:ascii="黑体" w:eastAsia="黑体"/>
      <w:b w:val="0"/>
    </w:rPr>
  </w:style>
  <w:style w:type="paragraph" w:customStyle="1" w:styleId="153">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4">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5">
    <w:name w:val="实施日期"/>
    <w:basedOn w:val="121"/>
    <w:qFormat/>
    <w:uiPriority w:val="0"/>
    <w:pPr>
      <w:framePr w:hSpace="0" w:wrap="around" w:xAlign="right"/>
      <w:jc w:val="right"/>
    </w:pPr>
  </w:style>
  <w:style w:type="paragraph" w:customStyle="1" w:styleId="156">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7">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8">
    <w:name w:val="无标题条"/>
    <w:next w:val="57"/>
    <w:qFormat/>
    <w:uiPriority w:val="0"/>
    <w:pPr>
      <w:jc w:val="both"/>
    </w:pPr>
    <w:rPr>
      <w:rFonts w:ascii="宋体" w:hAnsi="宋体" w:eastAsia="宋体" w:cs="Times New Roman"/>
      <w:sz w:val="21"/>
      <w:lang w:val="en-US" w:eastAsia="zh-CN" w:bidi="ar-SA"/>
    </w:rPr>
  </w:style>
  <w:style w:type="paragraph" w:customStyle="1" w:styleId="159">
    <w:name w:val="五级无标题条"/>
    <w:basedOn w:val="1"/>
    <w:qFormat/>
    <w:uiPriority w:val="0"/>
    <w:pPr>
      <w:numPr>
        <w:ilvl w:val="6"/>
        <w:numId w:val="20"/>
      </w:numPr>
      <w:adjustRightInd/>
    </w:pPr>
    <w:rPr>
      <w:szCs w:val="24"/>
    </w:rPr>
  </w:style>
  <w:style w:type="paragraph" w:customStyle="1" w:styleId="160">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1">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2">
    <w:name w:val="注×:后续"/>
    <w:basedOn w:val="161"/>
    <w:qFormat/>
    <w:uiPriority w:val="0"/>
    <w:pPr>
      <w:ind w:left="1406" w:leftChars="0" w:hanging="499" w:firstLineChars="0"/>
    </w:pPr>
  </w:style>
  <w:style w:type="paragraph" w:customStyle="1" w:styleId="163">
    <w:name w:val="标准文件_一级无标题"/>
    <w:basedOn w:val="106"/>
    <w:qFormat/>
    <w:uiPriority w:val="0"/>
    <w:pPr>
      <w:spacing w:before="0" w:beforeLines="0" w:after="0" w:afterLines="0"/>
      <w:outlineLvl w:val="9"/>
    </w:pPr>
    <w:rPr>
      <w:rFonts w:ascii="宋体" w:eastAsia="宋体"/>
    </w:rPr>
  </w:style>
  <w:style w:type="paragraph" w:customStyle="1" w:styleId="164">
    <w:name w:val="标准文件_五级无标题"/>
    <w:basedOn w:val="104"/>
    <w:qFormat/>
    <w:uiPriority w:val="0"/>
    <w:pPr>
      <w:spacing w:before="0" w:beforeLines="0" w:after="0" w:afterLines="0"/>
      <w:outlineLvl w:val="9"/>
    </w:pPr>
    <w:rPr>
      <w:rFonts w:ascii="宋体" w:eastAsia="宋体"/>
    </w:rPr>
  </w:style>
  <w:style w:type="paragraph" w:customStyle="1" w:styleId="165">
    <w:name w:val="标准文件_三级无标题"/>
    <w:basedOn w:val="95"/>
    <w:qFormat/>
    <w:uiPriority w:val="0"/>
    <w:pPr>
      <w:spacing w:before="0" w:beforeLines="0" w:after="0" w:afterLines="0"/>
      <w:outlineLvl w:val="9"/>
    </w:pPr>
    <w:rPr>
      <w:rFonts w:ascii="宋体" w:eastAsia="宋体"/>
    </w:rPr>
  </w:style>
  <w:style w:type="paragraph" w:customStyle="1" w:styleId="166">
    <w:name w:val="标准文件_二级无标题"/>
    <w:basedOn w:val="66"/>
    <w:qFormat/>
    <w:uiPriority w:val="0"/>
    <w:pPr>
      <w:spacing w:before="0" w:beforeLines="0" w:after="0" w:afterLines="0"/>
      <w:outlineLvl w:val="9"/>
    </w:pPr>
    <w:rPr>
      <w:rFonts w:ascii="宋体" w:eastAsia="宋体"/>
    </w:rPr>
  </w:style>
  <w:style w:type="paragraph" w:customStyle="1" w:styleId="167">
    <w:name w:val="标准_四级无标题"/>
    <w:basedOn w:val="99"/>
    <w:next w:val="57"/>
    <w:qFormat/>
    <w:uiPriority w:val="0"/>
    <w:rPr>
      <w:rFonts w:eastAsia="宋体"/>
    </w:rPr>
  </w:style>
  <w:style w:type="paragraph" w:customStyle="1" w:styleId="168">
    <w:name w:val="标准文件_四级无标题"/>
    <w:basedOn w:val="99"/>
    <w:qFormat/>
    <w:uiPriority w:val="0"/>
    <w:pPr>
      <w:spacing w:before="0" w:beforeLines="0" w:after="0" w:afterLines="0"/>
      <w:outlineLvl w:val="9"/>
    </w:pPr>
    <w:rPr>
      <w:rFonts w:ascii="宋体" w:hAnsi="黑体" w:eastAsia="宋体"/>
      <w:szCs w:val="52"/>
    </w:rPr>
  </w:style>
  <w:style w:type="paragraph" w:customStyle="1" w:styleId="169">
    <w:name w:val="标准文件_大写罗马数字编号列项"/>
    <w:basedOn w:val="57"/>
    <w:qFormat/>
    <w:uiPriority w:val="0"/>
    <w:pPr>
      <w:numPr>
        <w:ilvl w:val="0"/>
        <w:numId w:val="23"/>
      </w:numPr>
      <w:ind w:firstLine="0" w:firstLineChars="0"/>
    </w:pPr>
    <w:rPr>
      <w:rFonts w:ascii="Times New Roman" w:cs="Arial"/>
      <w:szCs w:val="28"/>
    </w:rPr>
  </w:style>
  <w:style w:type="paragraph" w:customStyle="1" w:styleId="170">
    <w:name w:val="标准文件_小写罗马数字编号列项"/>
    <w:basedOn w:val="57"/>
    <w:qFormat/>
    <w:uiPriority w:val="0"/>
    <w:pPr>
      <w:numPr>
        <w:ilvl w:val="0"/>
        <w:numId w:val="24"/>
      </w:numPr>
      <w:ind w:firstLine="0" w:firstLineChars="0"/>
    </w:pPr>
    <w:rPr>
      <w:rFonts w:cs="Arial"/>
      <w:szCs w:val="28"/>
    </w:rPr>
  </w:style>
  <w:style w:type="paragraph" w:customStyle="1" w:styleId="171">
    <w:name w:val="标准文件_附录标题"/>
    <w:basedOn w:val="77"/>
    <w:qFormat/>
    <w:uiPriority w:val="0"/>
    <w:pPr>
      <w:numPr>
        <w:numId w:val="0"/>
      </w:numPr>
      <w:spacing w:after="280"/>
      <w:outlineLvl w:val="9"/>
    </w:pPr>
  </w:style>
  <w:style w:type="paragraph" w:customStyle="1" w:styleId="172">
    <w:name w:val="标准文件_二级项"/>
    <w:qFormat/>
    <w:uiPriority w:val="0"/>
    <w:rPr>
      <w:rFonts w:ascii="宋体" w:hAnsi="Times New Roman" w:eastAsia="宋体" w:cs="Times New Roman"/>
      <w:sz w:val="21"/>
      <w:lang w:val="en-US" w:eastAsia="zh-CN" w:bidi="ar-SA"/>
    </w:rPr>
  </w:style>
  <w:style w:type="paragraph" w:customStyle="1" w:styleId="173">
    <w:name w:val="标准文件_三级项"/>
    <w:basedOn w:val="1"/>
    <w:qFormat/>
    <w:uiPriority w:val="0"/>
    <w:pPr>
      <w:numPr>
        <w:ilvl w:val="2"/>
        <w:numId w:val="21"/>
      </w:numPr>
      <w:spacing w:line="536870612" w:lineRule="auto"/>
    </w:pPr>
    <w:rPr>
      <w:rFonts w:ascii="Times New Roman" w:hAnsi="Times New Roman"/>
    </w:rPr>
  </w:style>
  <w:style w:type="paragraph" w:customStyle="1" w:styleId="174">
    <w:name w:val="图表脚注说明"/>
    <w:basedOn w:val="1"/>
    <w:next w:val="57"/>
    <w:qFormat/>
    <w:uiPriority w:val="0"/>
    <w:pPr>
      <w:numPr>
        <w:ilvl w:val="0"/>
        <w:numId w:val="25"/>
      </w:numPr>
      <w:adjustRightInd/>
      <w:spacing w:line="240" w:lineRule="auto"/>
    </w:pPr>
    <w:rPr>
      <w:rFonts w:ascii="宋体" w:hAnsi="Times New Roman"/>
      <w:sz w:val="18"/>
      <w:szCs w:val="18"/>
    </w:rPr>
  </w:style>
  <w:style w:type="paragraph" w:customStyle="1" w:styleId="175">
    <w:name w:val="标准文件_字母编号列项（一级）"/>
    <w:qFormat/>
    <w:uiPriority w:val="0"/>
    <w:pPr>
      <w:numPr>
        <w:ilvl w:val="0"/>
        <w:numId w:val="13"/>
      </w:numPr>
      <w:jc w:val="both"/>
    </w:pPr>
    <w:rPr>
      <w:rFonts w:ascii="宋体" w:hAnsi="Times New Roman" w:eastAsia="宋体" w:cs="Times New Roman"/>
      <w:sz w:val="21"/>
      <w:lang w:val="en-US" w:eastAsia="zh-CN" w:bidi="ar-SA"/>
    </w:rPr>
  </w:style>
  <w:style w:type="paragraph" w:customStyle="1" w:styleId="176">
    <w:name w:val="标准文件_索引字母"/>
    <w:next w:val="57"/>
    <w:qFormat/>
    <w:uiPriority w:val="0"/>
    <w:pPr>
      <w:jc w:val="center"/>
    </w:pPr>
    <w:rPr>
      <w:rFonts w:ascii="宋体" w:hAnsi="宋体" w:eastAsia="Times New Roman" w:cs="Times New Roman"/>
      <w:b/>
      <w:kern w:val="2"/>
      <w:sz w:val="21"/>
      <w:lang w:val="en-US" w:eastAsia="zh-CN" w:bidi="ar-SA"/>
    </w:rPr>
  </w:style>
  <w:style w:type="paragraph" w:customStyle="1" w:styleId="177">
    <w:name w:val="标准文件_附录前"/>
    <w:next w:val="57"/>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8">
    <w:name w:val="标准文件_正文标准名称"/>
    <w:qFormat/>
    <w:uiPriority w:val="0"/>
    <w:pPr>
      <w:spacing w:before="560" w:after="640" w:line="400" w:lineRule="exact"/>
      <w:jc w:val="center"/>
    </w:pPr>
    <w:rPr>
      <w:rFonts w:ascii="黑体" w:hAnsi="黑体" w:eastAsia="黑体" w:cs="Times New Roman"/>
      <w:kern w:val="2"/>
      <w:sz w:val="32"/>
      <w:szCs w:val="32"/>
      <w:lang w:val="en-US" w:eastAsia="zh-CN" w:bidi="ar-SA"/>
    </w:rPr>
  </w:style>
  <w:style w:type="paragraph" w:customStyle="1" w:styleId="179">
    <w:name w:val="标准文件_表格"/>
    <w:basedOn w:val="57"/>
    <w:qFormat/>
    <w:uiPriority w:val="0"/>
    <w:pPr>
      <w:ind w:firstLine="0" w:firstLineChars="0"/>
      <w:jc w:val="center"/>
    </w:pPr>
    <w:rPr>
      <w:sz w:val="18"/>
    </w:rPr>
  </w:style>
  <w:style w:type="paragraph" w:customStyle="1" w:styleId="180">
    <w:name w:val="标准文件_注："/>
    <w:next w:val="57"/>
    <w:qFormat/>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注×："/>
    <w:qFormat/>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2">
    <w:name w:val="标准文件_示例："/>
    <w:next w:val="183"/>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3">
    <w:name w:val="标准文件_示例内容"/>
    <w:basedOn w:val="57"/>
    <w:qFormat/>
    <w:uiPriority w:val="0"/>
    <w:pPr>
      <w:ind w:firstLine="420"/>
    </w:pPr>
    <w:rPr>
      <w:sz w:val="18"/>
    </w:rPr>
  </w:style>
  <w:style w:type="paragraph" w:customStyle="1" w:styleId="184">
    <w:name w:val="标准文件_示例×："/>
    <w:basedOn w:val="1"/>
    <w:next w:val="183"/>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5">
    <w:name w:val="标准文件_段 Char"/>
    <w:link w:val="57"/>
    <w:qFormat/>
    <w:uiPriority w:val="0"/>
    <w:rPr>
      <w:rFonts w:ascii="宋体" w:hAnsi="Times New Roman"/>
      <w:sz w:val="21"/>
    </w:rPr>
  </w:style>
  <w:style w:type="paragraph" w:customStyle="1" w:styleId="186">
    <w:name w:val="标准文件_表格续"/>
    <w:basedOn w:val="57"/>
    <w:next w:val="57"/>
    <w:qFormat/>
    <w:uiPriority w:val="0"/>
    <w:pPr>
      <w:jc w:val="center"/>
    </w:pPr>
    <w:rPr>
      <w:rFonts w:ascii="黑体" w:hAnsi="黑体" w:eastAsia="黑体"/>
    </w:rPr>
  </w:style>
  <w:style w:type="character" w:styleId="187">
    <w:name w:val="Placeholder Text"/>
    <w:basedOn w:val="29"/>
    <w:semiHidden/>
    <w:qFormat/>
    <w:uiPriority w:val="99"/>
    <w:rPr>
      <w:color w:val="808080"/>
    </w:rPr>
  </w:style>
  <w:style w:type="paragraph" w:customStyle="1" w:styleId="188">
    <w:name w:val="标准文件_二级项2"/>
    <w:basedOn w:val="57"/>
    <w:qFormat/>
    <w:uiPriority w:val="0"/>
    <w:pPr>
      <w:numPr>
        <w:ilvl w:val="1"/>
        <w:numId w:val="21"/>
      </w:numPr>
      <w:ind w:firstLine="0" w:firstLineChars="0"/>
    </w:pPr>
  </w:style>
  <w:style w:type="paragraph" w:customStyle="1" w:styleId="189">
    <w:name w:val="标准文件_三级项2"/>
    <w:basedOn w:val="57"/>
    <w:qFormat/>
    <w:uiPriority w:val="0"/>
    <w:pPr>
      <w:numPr>
        <w:ilvl w:val="0"/>
        <w:numId w:val="30"/>
      </w:numPr>
      <w:spacing w:line="300" w:lineRule="exact"/>
      <w:ind w:firstLineChars="0"/>
    </w:pPr>
    <w:rPr>
      <w:rFonts w:ascii="Times New Roman"/>
    </w:rPr>
  </w:style>
  <w:style w:type="paragraph" w:customStyle="1" w:styleId="190">
    <w:name w:val="标准文件_一级项2"/>
    <w:basedOn w:val="57"/>
    <w:qFormat/>
    <w:uiPriority w:val="0"/>
    <w:pPr>
      <w:numPr>
        <w:ilvl w:val="0"/>
        <w:numId w:val="31"/>
      </w:numPr>
      <w:spacing w:line="300" w:lineRule="exact"/>
      <w:ind w:firstLineChars="0"/>
    </w:pPr>
    <w:rPr>
      <w:rFonts w:ascii="Times New Roman"/>
    </w:rPr>
  </w:style>
  <w:style w:type="paragraph" w:customStyle="1" w:styleId="191">
    <w:name w:val="标准文件_提示"/>
    <w:basedOn w:val="57"/>
    <w:next w:val="57"/>
    <w:qFormat/>
    <w:uiPriority w:val="0"/>
    <w:pPr>
      <w:ind w:firstLine="420"/>
    </w:pPr>
    <w:rPr>
      <w:rFonts w:ascii="黑体" w:eastAsia="黑体"/>
    </w:rPr>
  </w:style>
  <w:style w:type="character" w:customStyle="1" w:styleId="192">
    <w:name w:val="标准文件_来源"/>
    <w:basedOn w:val="29"/>
    <w:qFormat/>
    <w:uiPriority w:val="1"/>
    <w:rPr>
      <w:rFonts w:eastAsia="宋体"/>
      <w:sz w:val="21"/>
    </w:rPr>
  </w:style>
  <w:style w:type="paragraph" w:customStyle="1" w:styleId="193">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4">
    <w:name w:val="其他发布日期"/>
    <w:basedOn w:val="121"/>
    <w:qFormat/>
    <w:uiPriority w:val="0"/>
    <w:pPr>
      <w:framePr w:w="3997" w:h="471" w:hRule="exact" w:hSpace="0" w:vSpace="181" w:wrap="around" w:vAnchor="page" w:hAnchor="page" w:x="1419" w:y="14097"/>
    </w:pPr>
  </w:style>
  <w:style w:type="paragraph" w:customStyle="1" w:styleId="195">
    <w:name w:val="其他实施日期"/>
    <w:basedOn w:val="155"/>
    <w:qFormat/>
    <w:uiPriority w:val="0"/>
    <w:pPr>
      <w:framePr w:w="3997" w:h="471" w:hRule="exact" w:vSpace="181" w:wrap="around" w:vAnchor="page" w:hAnchor="page" w:x="7089" w:y="14097"/>
    </w:pPr>
  </w:style>
  <w:style w:type="paragraph" w:customStyle="1" w:styleId="196">
    <w:name w:val="标准文件_文件编号"/>
    <w:basedOn w:val="57"/>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7">
    <w:name w:val="标准文件_替换文件编号"/>
    <w:basedOn w:val="196"/>
    <w:qFormat/>
    <w:uiPriority w:val="0"/>
    <w:pPr>
      <w:spacing w:before="57"/>
    </w:pPr>
    <w:rPr>
      <w:sz w:val="21"/>
    </w:rPr>
  </w:style>
  <w:style w:type="paragraph" w:customStyle="1" w:styleId="198">
    <w:name w:val="标准文件_文件名称"/>
    <w:basedOn w:val="57"/>
    <w:next w:val="57"/>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9">
    <w:name w:val="标准文件_附录图标号"/>
    <w:basedOn w:val="57"/>
    <w:next w:val="57"/>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200">
    <w:name w:val="标准文件_附录表标号"/>
    <w:basedOn w:val="57"/>
    <w:next w:val="57"/>
    <w:qFormat/>
    <w:uiPriority w:val="0"/>
    <w:pPr>
      <w:numPr>
        <w:ilvl w:val="0"/>
        <w:numId w:val="5"/>
      </w:numPr>
      <w:spacing w:line="14" w:lineRule="exact"/>
      <w:ind w:firstLine="0" w:firstLineChars="0"/>
      <w:jc w:val="center"/>
    </w:pPr>
    <w:rPr>
      <w:rFonts w:eastAsia="黑体"/>
      <w:vanish/>
      <w:sz w:val="2"/>
    </w:rPr>
  </w:style>
  <w:style w:type="paragraph" w:customStyle="1" w:styleId="201">
    <w:name w:val="标准文件_引言一级条标题"/>
    <w:basedOn w:val="57"/>
    <w:next w:val="57"/>
    <w:qFormat/>
    <w:uiPriority w:val="0"/>
    <w:pPr>
      <w:numPr>
        <w:ilvl w:val="1"/>
        <w:numId w:val="8"/>
      </w:numPr>
      <w:spacing w:before="50" w:beforeLines="50" w:after="50" w:afterLines="50"/>
      <w:ind w:firstLineChars="0"/>
    </w:pPr>
    <w:rPr>
      <w:rFonts w:ascii="黑体" w:eastAsia="黑体"/>
    </w:rPr>
  </w:style>
  <w:style w:type="paragraph" w:customStyle="1" w:styleId="202">
    <w:name w:val="标准文件_引言二级条标题"/>
    <w:basedOn w:val="57"/>
    <w:next w:val="57"/>
    <w:qFormat/>
    <w:uiPriority w:val="0"/>
    <w:pPr>
      <w:numPr>
        <w:ilvl w:val="2"/>
        <w:numId w:val="8"/>
      </w:numPr>
      <w:spacing w:before="50" w:beforeLines="50" w:after="50" w:afterLines="50"/>
      <w:ind w:firstLineChars="0"/>
    </w:pPr>
    <w:rPr>
      <w:rFonts w:ascii="黑体" w:eastAsia="黑体"/>
    </w:rPr>
  </w:style>
  <w:style w:type="paragraph" w:customStyle="1" w:styleId="203">
    <w:name w:val="标准文件_引言三级条标题"/>
    <w:basedOn w:val="57"/>
    <w:next w:val="57"/>
    <w:qFormat/>
    <w:uiPriority w:val="0"/>
    <w:pPr>
      <w:numPr>
        <w:ilvl w:val="3"/>
        <w:numId w:val="8"/>
      </w:numPr>
      <w:spacing w:before="50" w:beforeLines="50" w:after="50" w:afterLines="50"/>
      <w:ind w:firstLineChars="0"/>
    </w:pPr>
    <w:rPr>
      <w:rFonts w:ascii="黑体" w:eastAsia="黑体"/>
    </w:rPr>
  </w:style>
  <w:style w:type="paragraph" w:customStyle="1" w:styleId="204">
    <w:name w:val="标准文件_引言四级条标题"/>
    <w:basedOn w:val="57"/>
    <w:next w:val="57"/>
    <w:qFormat/>
    <w:uiPriority w:val="0"/>
    <w:pPr>
      <w:numPr>
        <w:ilvl w:val="4"/>
        <w:numId w:val="8"/>
      </w:numPr>
      <w:spacing w:before="50" w:beforeLines="50" w:after="50" w:afterLines="50"/>
      <w:ind w:firstLineChars="0"/>
    </w:pPr>
    <w:rPr>
      <w:rFonts w:ascii="黑体" w:eastAsia="黑体"/>
    </w:rPr>
  </w:style>
  <w:style w:type="paragraph" w:customStyle="1" w:styleId="205">
    <w:name w:val="标准文件_引言五级条标题"/>
    <w:basedOn w:val="57"/>
    <w:next w:val="57"/>
    <w:qFormat/>
    <w:uiPriority w:val="0"/>
    <w:pPr>
      <w:numPr>
        <w:ilvl w:val="5"/>
        <w:numId w:val="8"/>
      </w:numPr>
      <w:spacing w:before="50" w:beforeLines="50" w:after="50" w:afterLines="50"/>
      <w:ind w:firstLineChars="0"/>
    </w:pPr>
    <w:rPr>
      <w:rFonts w:ascii="黑体" w:eastAsia="黑体"/>
    </w:rPr>
  </w:style>
  <w:style w:type="paragraph" w:customStyle="1" w:styleId="206">
    <w:name w:val="标准文件_注后"/>
    <w:basedOn w:val="57"/>
    <w:qFormat/>
    <w:uiPriority w:val="0"/>
    <w:pPr>
      <w:ind w:left="811" w:firstLine="0" w:firstLineChars="0"/>
    </w:pPr>
    <w:rPr>
      <w:sz w:val="18"/>
    </w:rPr>
  </w:style>
  <w:style w:type="paragraph" w:customStyle="1" w:styleId="207">
    <w:name w:val="标准文件_注X后"/>
    <w:basedOn w:val="57"/>
    <w:qFormat/>
    <w:uiPriority w:val="0"/>
    <w:pPr>
      <w:ind w:left="811" w:firstLine="0" w:firstLineChars="0"/>
    </w:pPr>
    <w:rPr>
      <w:sz w:val="18"/>
    </w:rPr>
  </w:style>
  <w:style w:type="paragraph" w:customStyle="1" w:styleId="208">
    <w:name w:val="标准文件_示例后"/>
    <w:basedOn w:val="57"/>
    <w:qFormat/>
    <w:uiPriority w:val="0"/>
    <w:pPr>
      <w:ind w:left="964" w:firstLine="0" w:firstLineChars="0"/>
    </w:pPr>
    <w:rPr>
      <w:sz w:val="18"/>
    </w:rPr>
  </w:style>
  <w:style w:type="paragraph" w:customStyle="1" w:styleId="209">
    <w:name w:val="标准文件_示例X后"/>
    <w:basedOn w:val="57"/>
    <w:link w:val="210"/>
    <w:qFormat/>
    <w:uiPriority w:val="0"/>
    <w:pPr>
      <w:ind w:left="1049" w:firstLine="0" w:firstLineChars="0"/>
    </w:pPr>
    <w:rPr>
      <w:sz w:val="18"/>
    </w:rPr>
  </w:style>
  <w:style w:type="character" w:customStyle="1" w:styleId="210">
    <w:name w:val="标准文件_示例X后 字符"/>
    <w:basedOn w:val="185"/>
    <w:link w:val="209"/>
    <w:qFormat/>
    <w:uiPriority w:val="0"/>
    <w:rPr>
      <w:rFonts w:ascii="宋体" w:hAnsi="Times New Roman"/>
      <w:sz w:val="18"/>
    </w:rPr>
  </w:style>
  <w:style w:type="paragraph" w:customStyle="1" w:styleId="211">
    <w:name w:val="标准文件_索引项"/>
    <w:basedOn w:val="57"/>
    <w:next w:val="57"/>
    <w:qFormat/>
    <w:uiPriority w:val="0"/>
    <w:pPr>
      <w:tabs>
        <w:tab w:val="right" w:leader="dot" w:pos="9356"/>
      </w:tabs>
      <w:ind w:left="210" w:hanging="210" w:firstLineChars="0"/>
      <w:jc w:val="left"/>
    </w:pPr>
  </w:style>
  <w:style w:type="paragraph" w:customStyle="1" w:styleId="212">
    <w:name w:val="标准文件_附录一级无标题"/>
    <w:basedOn w:val="79"/>
    <w:qFormat/>
    <w:uiPriority w:val="0"/>
    <w:pPr>
      <w:spacing w:before="0" w:beforeLines="0" w:after="0" w:afterLines="0" w:line="276" w:lineRule="auto"/>
      <w:outlineLvl w:val="9"/>
    </w:pPr>
    <w:rPr>
      <w:rFonts w:ascii="宋体" w:eastAsia="宋体"/>
    </w:rPr>
  </w:style>
  <w:style w:type="paragraph" w:customStyle="1" w:styleId="213">
    <w:name w:val="标准文件_附录二级无标题"/>
    <w:basedOn w:val="80"/>
    <w:qFormat/>
    <w:uiPriority w:val="0"/>
    <w:pPr>
      <w:spacing w:before="0" w:beforeLines="0" w:after="0" w:afterLines="0" w:line="276" w:lineRule="auto"/>
      <w:outlineLvl w:val="9"/>
    </w:pPr>
    <w:rPr>
      <w:rFonts w:ascii="宋体" w:eastAsia="宋体"/>
    </w:rPr>
  </w:style>
  <w:style w:type="paragraph" w:customStyle="1" w:styleId="214">
    <w:name w:val="标准文件_附录三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四级无标题"/>
    <w:basedOn w:val="83"/>
    <w:qFormat/>
    <w:uiPriority w:val="0"/>
    <w:pPr>
      <w:spacing w:before="0" w:beforeLines="0" w:after="0" w:afterLines="0" w:line="276" w:lineRule="auto"/>
      <w:outlineLvl w:val="9"/>
    </w:pPr>
    <w:rPr>
      <w:rFonts w:ascii="宋体" w:eastAsia="宋体"/>
    </w:rPr>
  </w:style>
  <w:style w:type="paragraph" w:customStyle="1" w:styleId="216">
    <w:name w:val="标准文件_附录五级无标题"/>
    <w:basedOn w:val="85"/>
    <w:qFormat/>
    <w:uiPriority w:val="0"/>
    <w:pPr>
      <w:spacing w:before="0" w:beforeLines="0" w:after="0" w:afterLines="0" w:line="276" w:lineRule="auto"/>
      <w:outlineLvl w:val="9"/>
    </w:pPr>
    <w:rPr>
      <w:rFonts w:ascii="宋体" w:eastAsia="宋体"/>
    </w:rPr>
  </w:style>
  <w:style w:type="paragraph" w:customStyle="1" w:styleId="217">
    <w:name w:val="标准文件_引言一级无标题"/>
    <w:basedOn w:val="201"/>
    <w:next w:val="57"/>
    <w:qFormat/>
    <w:uiPriority w:val="0"/>
    <w:pPr>
      <w:spacing w:before="0" w:beforeLines="0" w:after="0" w:afterLines="0" w:line="276" w:lineRule="auto"/>
    </w:pPr>
    <w:rPr>
      <w:rFonts w:ascii="宋体" w:eastAsia="宋体"/>
    </w:rPr>
  </w:style>
  <w:style w:type="paragraph" w:customStyle="1" w:styleId="218">
    <w:name w:val="标准文件_引言二级无标题"/>
    <w:basedOn w:val="202"/>
    <w:next w:val="57"/>
    <w:qFormat/>
    <w:uiPriority w:val="0"/>
    <w:pPr>
      <w:spacing w:before="0" w:beforeLines="0" w:after="0" w:afterLines="0" w:line="276" w:lineRule="auto"/>
    </w:pPr>
    <w:rPr>
      <w:rFonts w:ascii="宋体" w:eastAsia="宋体"/>
    </w:rPr>
  </w:style>
  <w:style w:type="paragraph" w:customStyle="1" w:styleId="219">
    <w:name w:val="标准文件_引言三级无标题"/>
    <w:basedOn w:val="203"/>
    <w:qFormat/>
    <w:uiPriority w:val="0"/>
    <w:pPr>
      <w:spacing w:before="0" w:beforeLines="0" w:after="0" w:afterLines="0" w:line="276" w:lineRule="auto"/>
    </w:pPr>
    <w:rPr>
      <w:rFonts w:ascii="宋体" w:eastAsia="宋体"/>
    </w:rPr>
  </w:style>
  <w:style w:type="paragraph" w:customStyle="1" w:styleId="220">
    <w:name w:val="标准文件_引言四级无标题"/>
    <w:basedOn w:val="204"/>
    <w:next w:val="57"/>
    <w:qFormat/>
    <w:uiPriority w:val="0"/>
    <w:pPr>
      <w:spacing w:before="0" w:beforeLines="0" w:after="0" w:afterLines="0" w:line="276" w:lineRule="auto"/>
    </w:pPr>
    <w:rPr>
      <w:rFonts w:ascii="宋体" w:eastAsia="宋体"/>
    </w:rPr>
  </w:style>
  <w:style w:type="paragraph" w:customStyle="1" w:styleId="221">
    <w:name w:val="标准文件_引言五级无标题"/>
    <w:basedOn w:val="205"/>
    <w:next w:val="57"/>
    <w:qFormat/>
    <w:uiPriority w:val="0"/>
    <w:pPr>
      <w:spacing w:before="0" w:beforeLines="0" w:after="0" w:afterLines="0" w:line="276" w:lineRule="auto"/>
    </w:pPr>
    <w:rPr>
      <w:rFonts w:ascii="宋体" w:eastAsia="宋体"/>
    </w:rPr>
  </w:style>
  <w:style w:type="paragraph" w:customStyle="1" w:styleId="222">
    <w:name w:val="标准文件_索引标题"/>
    <w:basedOn w:val="64"/>
    <w:next w:val="57"/>
    <w:qFormat/>
    <w:uiPriority w:val="0"/>
    <w:rPr>
      <w:rFonts w:hAnsi="黑体"/>
    </w:rPr>
  </w:style>
  <w:style w:type="paragraph" w:customStyle="1" w:styleId="223">
    <w:name w:val="标准文件_脚注内容"/>
    <w:basedOn w:val="57"/>
    <w:qFormat/>
    <w:uiPriority w:val="0"/>
    <w:pPr>
      <w:ind w:left="400" w:leftChars="200" w:hanging="200" w:hangingChars="200"/>
    </w:pPr>
    <w:rPr>
      <w:sz w:val="15"/>
    </w:rPr>
  </w:style>
  <w:style w:type="paragraph" w:customStyle="1" w:styleId="224">
    <w:name w:val="标准文件_术语条一"/>
    <w:basedOn w:val="163"/>
    <w:next w:val="57"/>
    <w:qFormat/>
    <w:uiPriority w:val="0"/>
  </w:style>
  <w:style w:type="paragraph" w:customStyle="1" w:styleId="225">
    <w:name w:val="标准文件_术语条二"/>
    <w:basedOn w:val="166"/>
    <w:next w:val="57"/>
    <w:qFormat/>
    <w:uiPriority w:val="0"/>
  </w:style>
  <w:style w:type="paragraph" w:customStyle="1" w:styleId="226">
    <w:name w:val="标准文件_术语条三"/>
    <w:basedOn w:val="165"/>
    <w:next w:val="57"/>
    <w:qFormat/>
    <w:uiPriority w:val="0"/>
  </w:style>
  <w:style w:type="paragraph" w:customStyle="1" w:styleId="227">
    <w:name w:val="标准文件_术语条四"/>
    <w:basedOn w:val="168"/>
    <w:next w:val="57"/>
    <w:qFormat/>
    <w:uiPriority w:val="0"/>
  </w:style>
  <w:style w:type="paragraph" w:customStyle="1" w:styleId="228">
    <w:name w:val="标准文件_术语条五"/>
    <w:basedOn w:val="164"/>
    <w:next w:val="57"/>
    <w:qFormat/>
    <w:uiPriority w:val="0"/>
  </w:style>
  <w:style w:type="paragraph" w:customStyle="1" w:styleId="229">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30">
    <w:name w:val="发布"/>
    <w:basedOn w:val="29"/>
    <w:uiPriority w:val="0"/>
    <w:rPr>
      <w:rFonts w:ascii="黑体" w:eastAsia="黑体"/>
      <w:spacing w:val="85"/>
      <w:w w:val="100"/>
      <w:position w:val="3"/>
      <w:sz w:val="28"/>
      <w:szCs w:val="28"/>
    </w:rPr>
  </w:style>
  <w:style w:type="character" w:customStyle="1" w:styleId="231">
    <w:name w:val="正文文本缩进 2 字符"/>
    <w:basedOn w:val="29"/>
    <w:link w:val="16"/>
    <w:semiHidden/>
    <w:uiPriority w:val="99"/>
    <w:rPr>
      <w:kern w:val="2"/>
      <w:sz w:val="21"/>
      <w:szCs w:val="21"/>
    </w:rPr>
  </w:style>
  <w:style w:type="paragraph" w:customStyle="1" w:styleId="232">
    <w:name w:val="段"/>
    <w:link w:val="233"/>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character" w:customStyle="1" w:styleId="233">
    <w:name w:val="段 Char"/>
    <w:link w:val="232"/>
    <w:qFormat/>
    <w:uiPriority w:val="0"/>
    <w:rPr>
      <w:rFonts w:ascii="宋体" w:hAnsi="Times New Roman"/>
      <w:sz w:val="21"/>
    </w:rPr>
  </w:style>
  <w:style w:type="paragraph" w:customStyle="1" w:styleId="234">
    <w:name w:val="二级条标题"/>
    <w:basedOn w:val="235"/>
    <w:next w:val="232"/>
    <w:uiPriority w:val="0"/>
    <w:pPr>
      <w:numPr>
        <w:ilvl w:val="2"/>
      </w:numPr>
      <w:tabs>
        <w:tab w:val="left" w:pos="840"/>
      </w:tabs>
      <w:spacing w:before="50" w:after="50"/>
      <w:outlineLvl w:val="3"/>
    </w:pPr>
  </w:style>
  <w:style w:type="paragraph" w:customStyle="1" w:styleId="235">
    <w:name w:val="一级条标题"/>
    <w:next w:val="232"/>
    <w:qFormat/>
    <w:uiPriority w:val="0"/>
    <w:pPr>
      <w:numPr>
        <w:ilvl w:val="1"/>
        <w:numId w:val="3"/>
      </w:numPr>
      <w:spacing w:before="156" w:beforeLines="50" w:after="156" w:afterLines="50"/>
      <w:outlineLvl w:val="2"/>
    </w:pPr>
    <w:rPr>
      <w:rFonts w:ascii="黑体" w:hAnsi="Times New Roman" w:eastAsia="黑体" w:cs="Times New Roman"/>
      <w:sz w:val="21"/>
      <w:szCs w:val="21"/>
      <w:lang w:val="en-US" w:eastAsia="zh-CN" w:bidi="ar-SA"/>
    </w:rPr>
  </w:style>
  <w:style w:type="paragraph" w:customStyle="1" w:styleId="236">
    <w:name w:val="章标题"/>
    <w:next w:val="232"/>
    <w:qFormat/>
    <w:uiPriority w:val="0"/>
    <w:pPr>
      <w:spacing w:before="312" w:beforeLines="100" w:after="312" w:afterLines="100"/>
      <w:ind w:left="823" w:hanging="420"/>
      <w:jc w:val="both"/>
      <w:outlineLvl w:val="1"/>
    </w:pPr>
    <w:rPr>
      <w:rFonts w:ascii="黑体" w:hAnsi="Times New Roman" w:eastAsia="黑体" w:cs="Times New Roman"/>
      <w:sz w:val="21"/>
      <w:lang w:val="en-US" w:eastAsia="zh-CN" w:bidi="ar-SA"/>
    </w:rPr>
  </w:style>
  <w:style w:type="character" w:customStyle="1" w:styleId="237">
    <w:name w:val="附录公式 Char"/>
    <w:basedOn w:val="233"/>
    <w:link w:val="238"/>
    <w:qFormat/>
    <w:uiPriority w:val="0"/>
    <w:rPr>
      <w:rFonts w:ascii="宋体" w:hAnsi="Times New Roman"/>
      <w:sz w:val="21"/>
    </w:rPr>
  </w:style>
  <w:style w:type="paragraph" w:customStyle="1" w:styleId="238">
    <w:name w:val="附录公式"/>
    <w:basedOn w:val="232"/>
    <w:next w:val="232"/>
    <w:link w:val="237"/>
    <w:qFormat/>
    <w:uiPriority w:val="0"/>
    <w:rPr>
      <w:rFonts w:hAnsi="Calibri"/>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glossaryDocument" Target="glossary/document.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customXml" Target="../customXml/item2.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2.jpeg"/><Relationship Id="rId14" Type="http://schemas.openxmlformats.org/officeDocument/2006/relationships/image" Target="media/image1.pn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4C2F680C0B8410F82861F92F8EC014C"/>
        <w:style w:val=""/>
        <w:category>
          <w:name w:val="常规"/>
          <w:gallery w:val="placeholder"/>
        </w:category>
        <w:types>
          <w:type w:val="bbPlcHdr"/>
        </w:types>
        <w:behaviors>
          <w:behavior w:val="content"/>
        </w:behaviors>
        <w:description w:val=""/>
        <w:guid w:val="{311B0B9A-D242-4F72-9758-D2CC0EB3C7EB}"/>
      </w:docPartPr>
      <w:docPartBody>
        <w:p>
          <w:pPr>
            <w:pStyle w:val="5"/>
          </w:pPr>
          <w:r>
            <w:rPr>
              <w:rStyle w:val="4"/>
              <w:rFonts w:hint="eastAsia"/>
            </w:rPr>
            <w:t>单击或点击此处输入文字。</w:t>
          </w:r>
        </w:p>
      </w:docPartBody>
    </w:docPart>
    <w:docPart>
      <w:docPartPr>
        <w:name w:val="D89CF5F7321B4C56BDC9D89C01C6879F"/>
        <w:style w:val=""/>
        <w:category>
          <w:name w:val="常规"/>
          <w:gallery w:val="placeholder"/>
        </w:category>
        <w:types>
          <w:type w:val="bbPlcHdr"/>
        </w:types>
        <w:behaviors>
          <w:behavior w:val="content"/>
        </w:behaviors>
        <w:description w:val=""/>
        <w:guid w:val="{BC6F50CA-79F2-44CE-9644-0A1DF86628EF}"/>
      </w:docPartPr>
      <w:docPartBody>
        <w:p>
          <w:pPr>
            <w:pStyle w:val="6"/>
          </w:pPr>
          <w:r>
            <w:rPr>
              <w:rStyle w:val="4"/>
              <w:rFonts w:hint="eastAsia"/>
            </w:rPr>
            <w:t>选择一项。</w:t>
          </w:r>
        </w:p>
      </w:docPartBody>
    </w:docPart>
    <w:docPart>
      <w:docPartPr>
        <w:name w:val="B2B6842F76BE4FCDABE084A87D8AFFDB"/>
        <w:style w:val=""/>
        <w:category>
          <w:name w:val="常规"/>
          <w:gallery w:val="placeholder"/>
        </w:category>
        <w:types>
          <w:type w:val="bbPlcHdr"/>
        </w:types>
        <w:behaviors>
          <w:behavior w:val="content"/>
        </w:behaviors>
        <w:description w:val=""/>
        <w:guid w:val="{ADD6EAE4-CCFF-4B96-8915-BEE199287A9F}"/>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31C"/>
    <w:rsid w:val="00031550"/>
    <w:rsid w:val="00562C2F"/>
    <w:rsid w:val="00567130"/>
    <w:rsid w:val="00622FF4"/>
    <w:rsid w:val="0082124D"/>
    <w:rsid w:val="00A3010B"/>
    <w:rsid w:val="00B3731C"/>
    <w:rsid w:val="00D069F1"/>
    <w:rsid w:val="00E5722E"/>
    <w:rsid w:val="00F408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C4C2F680C0B8410F82861F92F8EC014C"/>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89CF5F7321B4C56BDC9D89C01C6879F"/>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B2B6842F76BE4FCDABE084A87D8AFFDB"/>
    <w:qFormat/>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CF03465-9310-430F-A8A0-DFC80D2CA8A6}">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16</Pages>
  <Words>1500</Words>
  <Characters>8553</Characters>
  <Lines>71</Lines>
  <Paragraphs>20</Paragraphs>
  <TotalTime>2</TotalTime>
  <ScaleCrop>false</ScaleCrop>
  <LinksUpToDate>false</LinksUpToDate>
  <CharactersWithSpaces>10033</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2022-03-14T06:56:00Z</dcterms:created>
  <dc:creator>youyou</dc:creator>
  <dc:description>&lt;config cover="true" show_menu="true" version="1.0.0" doctype="SDKXY"&gt;_x000d_
&lt;/config&gt;</dc:description>
  <cp:lastModifiedBy>崔爱民</cp:lastModifiedBy>
  <cp:lastPrinted>2020-08-30T10:00:00Z</cp:lastPrinted>
  <dcterms:modified xsi:type="dcterms:W3CDTF">2022-08-19T09:18:18Z</dcterms:modified>
  <dc:title>地方标准</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2052-11.8.2.8808</vt:lpwstr>
  </property>
</Properties>
</file>