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permStart w:id="0" w:edGrp="everyone"/>
      <w:permEnd w:id="0"/>
    </w:p>
    <w:p>
      <w:pPr>
        <w:pStyle w:val="2"/>
        <w:ind w:left="0" w:leftChars="0" w:firstLine="0" w:firstLineChars="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pStyle w:val="3"/>
        <w:jc w:val="center"/>
        <w:rPr>
          <w:rFonts w:hint="eastAsia" w:ascii="方正小标宋简体" w:hAnsi="华文中宋" w:eastAsia="方正小标宋简体"/>
          <w:sz w:val="84"/>
          <w:szCs w:val="84"/>
        </w:rPr>
      </w:pPr>
      <w:r>
        <w:rPr>
          <w:rFonts w:hint="eastAsia" w:ascii="方正小标宋简体" w:hAnsi="华文中宋" w:eastAsia="方正小标宋简体"/>
          <w:sz w:val="84"/>
          <w:szCs w:val="84"/>
        </w:rPr>
        <w:t>宿州</w:t>
      </w:r>
      <w:r>
        <w:rPr>
          <w:rFonts w:hint="eastAsia" w:ascii="方正小标宋简体" w:hAnsi="华文中宋" w:eastAsia="方正小标宋简体"/>
          <w:sz w:val="84"/>
          <w:szCs w:val="84"/>
          <w:lang w:val="en-US" w:eastAsia="zh-CN"/>
        </w:rPr>
        <w:t>市</w:t>
      </w:r>
      <w:r>
        <w:rPr>
          <w:rFonts w:hint="eastAsia" w:ascii="方正小标宋简体" w:hAnsi="华文中宋" w:eastAsia="方正小标宋简体"/>
          <w:sz w:val="84"/>
          <w:szCs w:val="84"/>
        </w:rPr>
        <w:t>质量状况</w:t>
      </w:r>
      <w:bookmarkStart w:id="0" w:name="_GoBack"/>
      <w:bookmarkEnd w:id="0"/>
      <w:r>
        <w:rPr>
          <w:rFonts w:hint="eastAsia" w:ascii="方正小标宋简体" w:hAnsi="华文中宋" w:eastAsia="方正小标宋简体"/>
          <w:sz w:val="84"/>
          <w:szCs w:val="84"/>
        </w:rPr>
        <w:t>白皮书</w:t>
      </w:r>
    </w:p>
    <w:p>
      <w:pPr>
        <w:pStyle w:val="3"/>
        <w:jc w:val="center"/>
        <w:rPr>
          <w:rFonts w:ascii="仿宋" w:hAnsi="仿宋" w:eastAsia="仿宋"/>
          <w:b/>
          <w:sz w:val="48"/>
          <w:szCs w:val="48"/>
        </w:rPr>
      </w:pPr>
    </w:p>
    <w:p>
      <w:pPr>
        <w:pStyle w:val="3"/>
        <w:jc w:val="center"/>
        <w:rPr>
          <w:rFonts w:hint="eastAsia" w:hAnsi="宋体" w:cs="宋体"/>
          <w:b/>
          <w:sz w:val="48"/>
          <w:szCs w:val="48"/>
        </w:rPr>
      </w:pPr>
      <w:r>
        <w:rPr>
          <w:rFonts w:hint="eastAsia" w:hAnsi="宋体" w:cs="宋体"/>
          <w:b/>
          <w:sz w:val="48"/>
          <w:szCs w:val="48"/>
        </w:rPr>
        <w:t>(20</w:t>
      </w:r>
      <w:r>
        <w:rPr>
          <w:rFonts w:hint="eastAsia" w:hAnsi="宋体" w:cs="宋体"/>
          <w:b/>
          <w:sz w:val="48"/>
          <w:szCs w:val="48"/>
          <w:lang w:val="en-US" w:eastAsia="zh-CN"/>
        </w:rPr>
        <w:t>20</w:t>
      </w:r>
      <w:r>
        <w:rPr>
          <w:rFonts w:hint="eastAsia" w:hAnsi="宋体" w:cs="宋体"/>
          <w:b/>
          <w:sz w:val="48"/>
          <w:szCs w:val="48"/>
        </w:rPr>
        <w:t>年)</w:t>
      </w:r>
    </w:p>
    <w:p>
      <w:pPr>
        <w:pStyle w:val="3"/>
        <w:jc w:val="center"/>
        <w:rPr>
          <w:rFonts w:ascii="Times New Roman" w:hAnsi="Times New Roman" w:eastAsia="华文楷体"/>
          <w:sz w:val="32"/>
          <w:szCs w:val="32"/>
        </w:rPr>
      </w:pPr>
    </w:p>
    <w:p>
      <w:pPr>
        <w:pStyle w:val="3"/>
        <w:jc w:val="center"/>
        <w:rPr>
          <w:rFonts w:ascii="Times New Roman" w:hAnsi="Times New Roman" w:eastAsia="华文楷体"/>
          <w:sz w:val="32"/>
          <w:szCs w:val="32"/>
        </w:rPr>
      </w:pPr>
    </w:p>
    <w:p>
      <w:pPr>
        <w:pStyle w:val="3"/>
        <w:spacing w:line="500" w:lineRule="exact"/>
        <w:jc w:val="center"/>
        <w:rPr>
          <w:rFonts w:ascii="Times New Roman" w:hAnsi="Times New Roman" w:eastAsia="华文楷体"/>
          <w:sz w:val="32"/>
          <w:szCs w:val="32"/>
        </w:rPr>
      </w:pPr>
    </w:p>
    <w:p>
      <w:pPr>
        <w:pStyle w:val="3"/>
        <w:spacing w:line="500" w:lineRule="exact"/>
        <w:jc w:val="center"/>
        <w:rPr>
          <w:rFonts w:ascii="Times New Roman" w:hAnsi="Times New Roman" w:eastAsia="华文楷体"/>
          <w:sz w:val="32"/>
          <w:szCs w:val="32"/>
        </w:rPr>
      </w:pPr>
    </w:p>
    <w:p>
      <w:pPr>
        <w:pStyle w:val="3"/>
        <w:spacing w:line="500" w:lineRule="exact"/>
        <w:jc w:val="center"/>
        <w:rPr>
          <w:rFonts w:ascii="Times New Roman" w:hAnsi="Times New Roman" w:eastAsia="华文楷体"/>
          <w:sz w:val="32"/>
          <w:szCs w:val="32"/>
        </w:rPr>
      </w:pPr>
    </w:p>
    <w:p>
      <w:pPr>
        <w:pStyle w:val="3"/>
        <w:spacing w:line="500" w:lineRule="exact"/>
        <w:jc w:val="center"/>
        <w:rPr>
          <w:rFonts w:ascii="Times New Roman" w:hAnsi="Times New Roman" w:eastAsia="华文楷体"/>
          <w:sz w:val="32"/>
          <w:szCs w:val="32"/>
        </w:rPr>
      </w:pPr>
    </w:p>
    <w:p>
      <w:pPr>
        <w:pStyle w:val="3"/>
        <w:spacing w:line="500" w:lineRule="exact"/>
        <w:jc w:val="center"/>
        <w:rPr>
          <w:rFonts w:ascii="Times New Roman" w:hAnsi="Times New Roman" w:eastAsia="华文楷体"/>
          <w:sz w:val="32"/>
          <w:szCs w:val="32"/>
        </w:rPr>
      </w:pPr>
    </w:p>
    <w:p>
      <w:pPr>
        <w:pStyle w:val="3"/>
        <w:spacing w:line="500" w:lineRule="exact"/>
        <w:jc w:val="center"/>
        <w:rPr>
          <w:rFonts w:ascii="仿宋_GB2312" w:hAnsi="Times New Roman" w:eastAsia="仿宋_GB2312"/>
          <w:sz w:val="44"/>
          <w:szCs w:val="44"/>
        </w:rPr>
      </w:pPr>
    </w:p>
    <w:p>
      <w:pPr>
        <w:pStyle w:val="3"/>
        <w:spacing w:line="500" w:lineRule="exact"/>
        <w:rPr>
          <w:rFonts w:ascii="仿宋_GB2312" w:hAnsi="Times New Roman" w:eastAsia="黑体"/>
          <w:sz w:val="44"/>
          <w:szCs w:val="44"/>
        </w:rPr>
      </w:pPr>
    </w:p>
    <w:p>
      <w:pPr>
        <w:pStyle w:val="3"/>
        <w:spacing w:line="500" w:lineRule="exact"/>
        <w:jc w:val="center"/>
        <w:rPr>
          <w:rFonts w:ascii="仿宋_GB2312" w:hAnsi="Times New Roman" w:eastAsia="黑体"/>
          <w:sz w:val="44"/>
          <w:szCs w:val="44"/>
        </w:rPr>
      </w:pPr>
    </w:p>
    <w:p>
      <w:pPr>
        <w:pStyle w:val="3"/>
        <w:spacing w:line="500" w:lineRule="exact"/>
        <w:jc w:val="center"/>
        <w:rPr>
          <w:rFonts w:hint="eastAsia" w:ascii="华文中宋" w:hAnsi="华文中宋" w:eastAsia="华文中宋"/>
          <w:sz w:val="36"/>
          <w:szCs w:val="36"/>
        </w:rPr>
      </w:pPr>
    </w:p>
    <w:p>
      <w:pPr>
        <w:pStyle w:val="3"/>
        <w:spacing w:line="800" w:lineRule="exact"/>
        <w:jc w:val="center"/>
        <w:rPr>
          <w:rFonts w:hint="eastAsia" w:ascii="楷体" w:hAnsi="楷体" w:eastAsia="楷体" w:cs="楷体"/>
          <w:bCs/>
          <w:sz w:val="36"/>
          <w:szCs w:val="36"/>
        </w:rPr>
      </w:pPr>
      <w:r>
        <w:rPr>
          <w:rFonts w:hint="eastAsia" w:ascii="楷体" w:hAnsi="楷体" w:eastAsia="楷体" w:cs="楷体"/>
          <w:bCs/>
          <w:sz w:val="36"/>
          <w:szCs w:val="36"/>
        </w:rPr>
        <w:t>宿州市质量</w:t>
      </w:r>
      <w:r>
        <w:rPr>
          <w:rFonts w:hint="eastAsia" w:ascii="楷体" w:hAnsi="楷体" w:eastAsia="楷体" w:cs="楷体"/>
          <w:bCs/>
          <w:sz w:val="36"/>
          <w:szCs w:val="36"/>
          <w:lang w:eastAsia="zh-CN"/>
        </w:rPr>
        <w:t>发展委员会</w:t>
      </w:r>
      <w:r>
        <w:rPr>
          <w:rFonts w:hint="eastAsia" w:ascii="楷体" w:hAnsi="楷体" w:eastAsia="楷体" w:cs="楷体"/>
          <w:bCs/>
          <w:sz w:val="36"/>
          <w:szCs w:val="36"/>
        </w:rPr>
        <w:t>办公室</w:t>
      </w:r>
    </w:p>
    <w:p>
      <w:pPr>
        <w:pStyle w:val="3"/>
        <w:spacing w:line="800" w:lineRule="exact"/>
        <w:jc w:val="center"/>
        <w:rPr>
          <w:rFonts w:hint="eastAsia" w:ascii="方正小标宋简体" w:hAnsi="华文中宋" w:eastAsia="方正小标宋简体"/>
          <w:b/>
          <w:sz w:val="36"/>
          <w:szCs w:val="36"/>
        </w:rPr>
      </w:pPr>
      <w:r>
        <w:rPr>
          <w:rFonts w:hint="eastAsia" w:ascii="楷体" w:hAnsi="楷体" w:eastAsia="楷体" w:cs="楷体"/>
          <w:bCs/>
          <w:sz w:val="36"/>
          <w:szCs w:val="36"/>
        </w:rPr>
        <w:t>二〇</w:t>
      </w:r>
      <w:r>
        <w:rPr>
          <w:rFonts w:hint="eastAsia" w:ascii="楷体" w:hAnsi="楷体" w:eastAsia="楷体" w:cs="楷体"/>
          <w:bCs/>
          <w:sz w:val="36"/>
          <w:szCs w:val="36"/>
          <w:lang w:eastAsia="zh-CN"/>
        </w:rPr>
        <w:t>二</w:t>
      </w:r>
      <w:r>
        <w:rPr>
          <w:rFonts w:hint="eastAsia" w:ascii="楷体" w:hAnsi="楷体" w:eastAsia="楷体" w:cs="楷体"/>
          <w:bCs/>
          <w:sz w:val="36"/>
          <w:szCs w:val="36"/>
          <w:lang w:val="en-US" w:eastAsia="zh-CN"/>
        </w:rPr>
        <w:t>一</w:t>
      </w:r>
      <w:r>
        <w:rPr>
          <w:rFonts w:hint="eastAsia" w:ascii="楷体" w:hAnsi="楷体" w:eastAsia="楷体" w:cs="楷体"/>
          <w:bCs/>
          <w:sz w:val="36"/>
          <w:szCs w:val="36"/>
        </w:rPr>
        <w:t>年</w:t>
      </w:r>
      <w:r>
        <w:rPr>
          <w:rFonts w:hint="eastAsia" w:ascii="楷体" w:hAnsi="楷体" w:eastAsia="楷体" w:cs="楷体"/>
          <w:bCs/>
          <w:sz w:val="36"/>
          <w:szCs w:val="36"/>
          <w:lang w:val="en-US" w:eastAsia="zh-CN"/>
        </w:rPr>
        <w:t>四</w:t>
      </w:r>
      <w:r>
        <w:rPr>
          <w:rFonts w:hint="eastAsia" w:ascii="楷体" w:hAnsi="楷体" w:eastAsia="楷体" w:cs="楷体"/>
          <w:bCs/>
          <w:sz w:val="36"/>
          <w:szCs w:val="36"/>
        </w:rPr>
        <w:t>月</w:t>
      </w:r>
    </w:p>
    <w:p/>
    <w:p/>
    <w:p/>
    <w:p>
      <w:pPr>
        <w:keepNext w:val="0"/>
        <w:keepLines w:val="0"/>
        <w:pageBreakBefore w:val="0"/>
        <w:tabs>
          <w:tab w:val="left" w:pos="8715"/>
        </w:tabs>
        <w:kinsoku/>
        <w:wordWrap/>
        <w:overflowPunct/>
        <w:topLinePunct w:val="0"/>
        <w:autoSpaceDE/>
        <w:autoSpaceDN/>
        <w:bidi w:val="0"/>
        <w:spacing w:before="312" w:beforeLines="100" w:after="312" w:afterLines="100" w:line="600" w:lineRule="exact"/>
        <w:jc w:val="both"/>
        <w:rPr>
          <w:rFonts w:hint="eastAsia" w:ascii="黑体" w:hAnsi="黑体" w:eastAsia="黑体" w:cs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tabs>
          <w:tab w:val="left" w:pos="8715"/>
        </w:tabs>
        <w:kinsoku/>
        <w:wordWrap/>
        <w:overflowPunct/>
        <w:topLinePunct w:val="0"/>
        <w:autoSpaceDE/>
        <w:autoSpaceDN/>
        <w:bidi w:val="0"/>
        <w:spacing w:before="312" w:beforeLines="100" w:after="312" w:afterLines="100" w:line="600" w:lineRule="exact"/>
        <w:jc w:val="center"/>
        <w:rPr>
          <w:rFonts w:hint="eastAsia" w:ascii="黑体" w:hAnsi="黑体" w:eastAsia="黑体" w:cs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Cs w:val="32"/>
          <w14:textFill>
            <w14:solidFill>
              <w14:schemeClr w14:val="tx1"/>
            </w14:solidFill>
          </w14:textFill>
        </w:rPr>
        <w:t>前   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700" w:firstLineChars="200"/>
        <w:rPr>
          <w:rFonts w:hint="eastAsia" w:ascii="宋体" w:hAnsi="宋体" w:eastAsia="宋体" w:cs="宋体"/>
          <w:color w:val="000000" w:themeColor="text1"/>
          <w:spacing w:val="15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14:textFill>
            <w14:solidFill>
              <w14:schemeClr w14:val="tx1"/>
            </w14:solidFill>
          </w14:textFill>
        </w:rPr>
        <w:t>年，在市委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14:textFill>
            <w14:solidFill>
              <w14:schemeClr w14:val="tx1"/>
            </w14:solidFill>
          </w14:textFill>
        </w:rPr>
        <w:t>政府坚强领导下，</w:t>
      </w:r>
      <w:r>
        <w:rPr>
          <w:rFonts w:hint="eastAsia" w:ascii="方正仿宋_GBK" w:hAnsi="方正仿宋_GBK" w:eastAsia="方正仿宋_GBK" w:cs="方正仿宋_GBK"/>
          <w:color w:val="000000" w:themeColor="text1"/>
          <w14:textFill>
            <w14:solidFill>
              <w14:schemeClr w14:val="tx1"/>
            </w14:solidFill>
          </w14:textFill>
        </w:rPr>
        <w:t>全市上下以习近平新时代中国特色社会主义思想为指导</w:t>
      </w:r>
      <w:r>
        <w:rPr>
          <w:rFonts w:hint="eastAsia" w:ascii="方正仿宋_GBK" w:hAnsi="方正仿宋_GBK" w:eastAsia="方正仿宋_GBK" w:cs="方正仿宋_GBK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方正仿宋_GBK" w:hAnsi="方正仿宋_GBK" w:eastAsia="方正仿宋_GBK" w:cs="方正仿宋_GBK"/>
          <w:color w:val="000000" w:themeColor="text1"/>
          <w14:textFill>
            <w14:solidFill>
              <w14:schemeClr w14:val="tx1"/>
            </w14:solidFill>
          </w14:textFill>
        </w:rPr>
        <w:t>认真贯彻</w:t>
      </w:r>
      <w:r>
        <w:rPr>
          <w:rFonts w:hint="eastAsia" w:ascii="方正仿宋_GBK" w:hAnsi="方正仿宋_GBK" w:eastAsia="方正仿宋_GBK" w:cs="方正仿宋_GBK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落实</w:t>
      </w:r>
      <w:r>
        <w:rPr>
          <w:rFonts w:hint="eastAsia" w:ascii="方正仿宋_GBK" w:hAnsi="方正仿宋_GBK" w:eastAsia="方正仿宋_GBK" w:cs="方正仿宋_GBK"/>
          <w:color w:val="000000" w:themeColor="text1"/>
          <w14:textFill>
            <w14:solidFill>
              <w14:schemeClr w14:val="tx1"/>
            </w14:solidFill>
          </w14:textFill>
        </w:rPr>
        <w:t>市委、市政府工作</w:t>
      </w:r>
      <w:r>
        <w:rPr>
          <w:rFonts w:hint="eastAsia" w:ascii="方正仿宋_GBK" w:hAnsi="方正仿宋_GBK" w:eastAsia="方正仿宋_GBK" w:cs="方正仿宋_GBK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决策</w:t>
      </w:r>
      <w:r>
        <w:rPr>
          <w:rFonts w:hint="eastAsia" w:ascii="方正仿宋_GBK" w:hAnsi="方正仿宋_GBK" w:eastAsia="方正仿宋_GBK" w:cs="方正仿宋_GBK"/>
          <w:color w:val="000000" w:themeColor="text1"/>
          <w14:textFill>
            <w14:solidFill>
              <w14:schemeClr w14:val="tx1"/>
            </w14:solidFill>
          </w14:textFill>
        </w:rPr>
        <w:t>部署，坚持稳中求进工作总基调，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14:textFill>
            <w14:solidFill>
              <w14:schemeClr w14:val="tx1"/>
            </w14:solidFill>
          </w14:textFill>
        </w:rPr>
        <w:t>始终把质量工作摆在重要位置，坚决贯彻落实《安徽省质量发展纲要（2013—2020年）》，以创建全国质量强市示范城市和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开展质量提升行动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14:textFill>
            <w14:solidFill>
              <w14:schemeClr w14:val="tx1"/>
            </w14:solidFill>
          </w14:textFill>
        </w:rPr>
        <w:t>为抓手，加快推进质量宿州建设。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Cs w:val="32"/>
          <w14:textFill>
            <w14:solidFill>
              <w14:schemeClr w14:val="tx1"/>
            </w14:solidFill>
          </w14:textFill>
        </w:rPr>
        <w:t>为全面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把握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我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14:textFill>
            <w14:solidFill>
              <w14:schemeClr w14:val="tx1"/>
            </w14:solidFill>
          </w14:textFill>
        </w:rPr>
        <w:t>市20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14:textFill>
            <w14:solidFill>
              <w14:schemeClr w14:val="tx1"/>
            </w14:solidFill>
          </w14:textFill>
        </w:rPr>
        <w:t>年质量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发展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14:textFill>
            <w14:solidFill>
              <w14:schemeClr w14:val="tx1"/>
            </w14:solidFill>
          </w14:textFill>
        </w:rPr>
        <w:t>总体状况，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客观反映我市产品、工程、服务、环境等方面质量状况，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14:textFill>
            <w14:solidFill>
              <w14:schemeClr w14:val="tx1"/>
            </w14:solidFill>
          </w14:textFill>
        </w:rPr>
        <w:t>展示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全市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14:textFill>
            <w14:solidFill>
              <w14:schemeClr w14:val="tx1"/>
            </w14:solidFill>
          </w14:textFill>
        </w:rPr>
        <w:t>质量工作取得的成果，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查找问题及不足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14:textFill>
            <w14:solidFill>
              <w14:schemeClr w14:val="tx1"/>
            </w14:solidFill>
          </w14:textFill>
        </w:rPr>
        <w:t>，为市委、市政府研究制定质量工作方针政策提供决策依据，科学指导今后一段时期全市质量管理工作，不断提高全市质量总体水平，特编制、发布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宿州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lang w:val="en-US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14:textFill>
            <w14:solidFill>
              <w14:schemeClr w14:val="tx1"/>
            </w14:solidFill>
          </w14:textFill>
        </w:rPr>
        <w:t>年质量状况白皮书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14:textFill>
            <w14:solidFill>
              <w14:schemeClr w14:val="tx1"/>
            </w14:solidFill>
          </w14:textFill>
        </w:rPr>
        <w:t>为相关职能部门、企业和广大质量工作者提供参考。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本白皮书由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14:textFill>
            <w14:solidFill>
              <w14:schemeClr w14:val="tx1"/>
            </w14:solidFill>
          </w14:textFill>
        </w:rPr>
        <w:t>市质量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发展委员会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办公室组织编写，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14:textFill>
            <w14:solidFill>
              <w14:schemeClr w14:val="tx1"/>
            </w14:solidFill>
          </w14:textFill>
        </w:rPr>
        <w:t>市质量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发展委员会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14:textFill>
            <w14:solidFill>
              <w14:schemeClr w14:val="tx1"/>
            </w14:solidFill>
          </w14:textFill>
        </w:rPr>
        <w:t>成员单位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提供了资料数据，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14:textFill>
            <w14:solidFill>
              <w14:schemeClr w14:val="tx1"/>
            </w14:solidFill>
          </w14:textFill>
        </w:rPr>
        <w:t>在此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感谢相关部门和人员在本书编写过程中给予的大力支持。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由于时间仓促，书中质量数据不尽完善，不当之处恳请各方予以批评指正，以便持续改进。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rPr>
          <w:color w:val="000000" w:themeColor="text1"/>
          <w14:textFill>
            <w14:solidFill>
              <w14:schemeClr w14:val="tx1"/>
            </w14:solidFill>
          </w14:textFill>
        </w:rPr>
        <w:sectPr>
          <w:pgSz w:w="11906" w:h="16838"/>
          <w:pgMar w:top="1247" w:right="1361" w:bottom="1247" w:left="1361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rPr>
          <w:rFonts w:hint="eastAsia" w:ascii="黑体" w:hAnsi="黑体" w:eastAsia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目   录</w:t>
      </w:r>
    </w:p>
    <w:p>
      <w:pPr>
        <w:pStyle w:val="3"/>
        <w:keepNext w:val="0"/>
        <w:keepLines w:val="0"/>
        <w:pageBreakBefore w:val="0"/>
        <w:tabs>
          <w:tab w:val="left" w:pos="7020"/>
        </w:tabs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tabs>
          <w:tab w:val="right" w:leader="middleDot" w:pos="9030"/>
        </w:tabs>
        <w:kinsoku/>
        <w:wordWrap/>
        <w:overflowPunct/>
        <w:topLinePunct w:val="0"/>
        <w:autoSpaceDE/>
        <w:autoSpaceDN/>
        <w:bidi w:val="0"/>
        <w:spacing w:line="560" w:lineRule="exact"/>
        <w:ind w:firstLine="320" w:firstLineChars="100"/>
        <w:rPr>
          <w:rFonts w:hint="eastAsia" w:ascii="新宋体" w:hAnsi="新宋体" w:eastAsia="新宋体" w:cs="新宋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 w:cs="新宋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新宋体" w:hAnsi="新宋体" w:eastAsia="新宋体" w:cs="新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全市经济发展情况………………………………………… </w:t>
      </w:r>
      <w:r>
        <w:rPr>
          <w:rFonts w:hint="eastAsia" w:ascii="新宋体" w:hAnsi="新宋体" w:eastAsia="新宋体" w:cs="新宋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pStyle w:val="3"/>
        <w:keepNext w:val="0"/>
        <w:keepLines w:val="0"/>
        <w:pageBreakBefore w:val="0"/>
        <w:tabs>
          <w:tab w:val="right" w:leader="middleDot" w:pos="9030"/>
        </w:tabs>
        <w:kinsoku/>
        <w:wordWrap/>
        <w:overflowPunct/>
        <w:topLinePunct w:val="0"/>
        <w:autoSpaceDE/>
        <w:autoSpaceDN/>
        <w:bidi w:val="0"/>
        <w:spacing w:line="560" w:lineRule="exact"/>
        <w:ind w:firstLine="313" w:firstLineChars="98"/>
        <w:rPr>
          <w:rFonts w:hint="eastAsia" w:ascii="新宋体" w:hAnsi="新宋体" w:eastAsia="新宋体" w:cs="新宋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 w:cs="新宋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新宋体" w:hAnsi="新宋体" w:eastAsia="新宋体" w:cs="新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全市质量状况</w:t>
      </w:r>
      <w:r>
        <w:rPr>
          <w:rFonts w:hint="eastAsia" w:ascii="新宋体" w:hAnsi="新宋体" w:eastAsia="新宋体" w:cs="新宋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新宋体" w:hAnsi="新宋体" w:eastAsia="新宋体" w:cs="新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……………………………………………</w:t>
      </w:r>
      <w:r>
        <w:rPr>
          <w:rFonts w:hint="eastAsia" w:ascii="新宋体" w:hAnsi="新宋体" w:eastAsia="新宋体" w:cs="新宋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pStyle w:val="3"/>
        <w:keepNext w:val="0"/>
        <w:keepLines w:val="0"/>
        <w:pageBreakBefore w:val="0"/>
        <w:tabs>
          <w:tab w:val="right" w:leader="middleDot" w:pos="9030"/>
        </w:tabs>
        <w:kinsoku/>
        <w:wordWrap/>
        <w:overflowPunct/>
        <w:topLinePunct w:val="0"/>
        <w:autoSpaceDE/>
        <w:autoSpaceDN/>
        <w:bidi w:val="0"/>
        <w:spacing w:line="560" w:lineRule="exact"/>
        <w:ind w:firstLine="960" w:firstLineChars="300"/>
        <w:rPr>
          <w:rFonts w:hint="eastAsia" w:ascii="新宋体" w:hAnsi="新宋体" w:eastAsia="新宋体" w:cs="新宋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 w:cs="新宋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新宋体" w:hAnsi="新宋体" w:eastAsia="新宋体" w:cs="新宋体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产品质量状况</w:t>
      </w:r>
      <w:r>
        <w:rPr>
          <w:rFonts w:hint="eastAsia" w:ascii="新宋体" w:hAnsi="新宋体" w:eastAsia="新宋体" w:cs="新宋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新宋体" w:hAnsi="新宋体" w:eastAsia="新宋体" w:cs="新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……………………………………………</w:t>
      </w:r>
      <w:r>
        <w:rPr>
          <w:rFonts w:hint="eastAsia" w:ascii="新宋体" w:hAnsi="新宋体" w:eastAsia="新宋体" w:cs="新宋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pStyle w:val="3"/>
        <w:keepNext w:val="0"/>
        <w:keepLines w:val="0"/>
        <w:pageBreakBefore w:val="0"/>
        <w:tabs>
          <w:tab w:val="right" w:leader="middleDot" w:pos="9030"/>
        </w:tabs>
        <w:kinsoku/>
        <w:wordWrap/>
        <w:overflowPunct/>
        <w:topLinePunct w:val="0"/>
        <w:autoSpaceDE/>
        <w:autoSpaceDN/>
        <w:bidi w:val="0"/>
        <w:spacing w:line="560" w:lineRule="exact"/>
        <w:ind w:firstLine="960" w:firstLineChars="300"/>
        <w:rPr>
          <w:rFonts w:hint="eastAsia" w:ascii="新宋体" w:hAnsi="新宋体" w:eastAsia="新宋体" w:cs="新宋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 w:cs="新宋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2.工程质量状况 </w:t>
      </w:r>
      <w:r>
        <w:rPr>
          <w:rFonts w:hint="eastAsia" w:ascii="新宋体" w:hAnsi="新宋体" w:eastAsia="新宋体" w:cs="新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……………………………………………</w:t>
      </w:r>
      <w:r>
        <w:rPr>
          <w:rFonts w:hint="eastAsia" w:ascii="新宋体" w:hAnsi="新宋体" w:eastAsia="新宋体" w:cs="新宋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</w:p>
    <w:p>
      <w:pPr>
        <w:pStyle w:val="3"/>
        <w:keepNext w:val="0"/>
        <w:keepLines w:val="0"/>
        <w:pageBreakBefore w:val="0"/>
        <w:tabs>
          <w:tab w:val="right" w:leader="middleDot" w:pos="9030"/>
        </w:tabs>
        <w:kinsoku/>
        <w:wordWrap/>
        <w:overflowPunct/>
        <w:topLinePunct w:val="0"/>
        <w:autoSpaceDE/>
        <w:autoSpaceDN/>
        <w:bidi w:val="0"/>
        <w:spacing w:line="560" w:lineRule="exact"/>
        <w:ind w:firstLine="960" w:firstLineChars="300"/>
        <w:rPr>
          <w:rFonts w:hint="default" w:ascii="新宋体" w:hAnsi="新宋体" w:eastAsia="新宋体" w:cs="新宋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 w:cs="新宋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3.服务质量状况 </w:t>
      </w:r>
      <w:r>
        <w:rPr>
          <w:rFonts w:hint="eastAsia" w:ascii="新宋体" w:hAnsi="新宋体" w:eastAsia="新宋体" w:cs="新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……………………………………………</w:t>
      </w:r>
      <w:r>
        <w:rPr>
          <w:rFonts w:hint="eastAsia" w:ascii="新宋体" w:hAnsi="新宋体" w:eastAsia="新宋体" w:cs="新宋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</w:p>
    <w:p>
      <w:pPr>
        <w:pStyle w:val="3"/>
        <w:keepNext w:val="0"/>
        <w:keepLines w:val="0"/>
        <w:pageBreakBefore w:val="0"/>
        <w:tabs>
          <w:tab w:val="right" w:leader="middleDot" w:pos="9030"/>
        </w:tabs>
        <w:kinsoku/>
        <w:wordWrap/>
        <w:overflowPunct/>
        <w:topLinePunct w:val="0"/>
        <w:autoSpaceDE/>
        <w:autoSpaceDN/>
        <w:bidi w:val="0"/>
        <w:spacing w:line="560" w:lineRule="exact"/>
        <w:ind w:firstLine="960" w:firstLineChars="300"/>
        <w:rPr>
          <w:rFonts w:hint="default" w:ascii="新宋体" w:hAnsi="新宋体" w:eastAsia="新宋体" w:cs="新宋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 w:cs="新宋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4.环境质量状况 </w:t>
      </w:r>
      <w:r>
        <w:rPr>
          <w:rFonts w:hint="eastAsia" w:ascii="新宋体" w:hAnsi="新宋体" w:eastAsia="新宋体" w:cs="新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……………………………………………</w:t>
      </w:r>
      <w:r>
        <w:rPr>
          <w:rFonts w:hint="eastAsia" w:ascii="新宋体" w:hAnsi="新宋体" w:eastAsia="新宋体" w:cs="新宋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</w:p>
    <w:p>
      <w:pPr>
        <w:pStyle w:val="3"/>
        <w:keepNext w:val="0"/>
        <w:keepLines w:val="0"/>
        <w:pageBreakBefore w:val="0"/>
        <w:tabs>
          <w:tab w:val="right" w:leader="middleDot" w:pos="9030"/>
        </w:tabs>
        <w:kinsoku/>
        <w:wordWrap/>
        <w:overflowPunct/>
        <w:topLinePunct w:val="0"/>
        <w:autoSpaceDE/>
        <w:autoSpaceDN/>
        <w:bidi w:val="0"/>
        <w:spacing w:line="560" w:lineRule="exact"/>
        <w:ind w:firstLine="960" w:firstLineChars="300"/>
        <w:rPr>
          <w:rFonts w:hint="default" w:ascii="新宋体" w:hAnsi="新宋体" w:eastAsia="新宋体" w:cs="新宋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 w:cs="新宋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5.品牌战略实施状况 </w:t>
      </w:r>
      <w:r>
        <w:rPr>
          <w:rFonts w:hint="eastAsia" w:ascii="新宋体" w:hAnsi="新宋体" w:eastAsia="新宋体" w:cs="新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………………………………………</w:t>
      </w:r>
      <w:r>
        <w:rPr>
          <w:rFonts w:hint="eastAsia" w:ascii="新宋体" w:hAnsi="新宋体" w:eastAsia="新宋体" w:cs="新宋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</w:t>
      </w:r>
    </w:p>
    <w:p>
      <w:pPr>
        <w:pStyle w:val="3"/>
        <w:keepNext w:val="0"/>
        <w:keepLines w:val="0"/>
        <w:pageBreakBefore w:val="0"/>
        <w:tabs>
          <w:tab w:val="right" w:leader="middleDot" w:pos="9030"/>
        </w:tabs>
        <w:kinsoku/>
        <w:wordWrap/>
        <w:overflowPunct/>
        <w:topLinePunct w:val="0"/>
        <w:autoSpaceDE/>
        <w:autoSpaceDN/>
        <w:bidi w:val="0"/>
        <w:spacing w:line="560" w:lineRule="exact"/>
        <w:ind w:left="323" w:leftChars="100" w:hanging="3" w:hangingChars="1"/>
        <w:rPr>
          <w:rFonts w:hint="default" w:ascii="新宋体" w:hAnsi="新宋体" w:eastAsia="新宋体" w:cs="新宋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 w:cs="新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三、存在</w:t>
      </w:r>
      <w:r>
        <w:rPr>
          <w:rFonts w:hint="eastAsia" w:ascii="新宋体" w:hAnsi="新宋体" w:eastAsia="新宋体" w:cs="新宋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新宋体" w:hAnsi="新宋体" w:eastAsia="新宋体" w:cs="新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主要问题</w:t>
      </w:r>
      <w:r>
        <w:rPr>
          <w:rFonts w:hint="eastAsia" w:ascii="新宋体" w:hAnsi="新宋体" w:eastAsia="新宋体" w:cs="新宋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新宋体" w:hAnsi="新宋体" w:eastAsia="新宋体" w:cs="新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……………………………………………</w:t>
      </w:r>
      <w:r>
        <w:rPr>
          <w:rFonts w:hint="eastAsia" w:ascii="新宋体" w:hAnsi="新宋体" w:eastAsia="新宋体" w:cs="新宋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13</w:t>
      </w:r>
    </w:p>
    <w:p>
      <w:pPr>
        <w:pStyle w:val="3"/>
        <w:keepNext w:val="0"/>
        <w:keepLines w:val="0"/>
        <w:pageBreakBefore w:val="0"/>
        <w:tabs>
          <w:tab w:val="right" w:leader="middleDot" w:pos="9030"/>
        </w:tabs>
        <w:kinsoku/>
        <w:wordWrap/>
        <w:overflowPunct/>
        <w:topLinePunct w:val="0"/>
        <w:autoSpaceDE/>
        <w:autoSpaceDN/>
        <w:bidi w:val="0"/>
        <w:spacing w:line="560" w:lineRule="exact"/>
        <w:ind w:left="323" w:leftChars="100" w:hanging="3" w:hangingChars="1"/>
        <w:rPr>
          <w:rFonts w:hint="default"/>
          <w:color w:val="000000" w:themeColor="text1"/>
          <w:lang w:val="en-US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247" w:right="1361" w:bottom="1247" w:left="1361" w:header="851" w:footer="992" w:gutter="0"/>
          <w:pgNumType w:fmt="numberInDash" w:start="1"/>
          <w:cols w:space="425" w:num="1"/>
          <w:docGrid w:type="lines" w:linePitch="312" w:charSpace="0"/>
        </w:sectPr>
      </w:pPr>
      <w:r>
        <w:rPr>
          <w:rFonts w:hint="eastAsia" w:ascii="新宋体" w:hAnsi="新宋体" w:eastAsia="新宋体" w:cs="新宋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四、建议与对策 </w:t>
      </w:r>
      <w:r>
        <w:rPr>
          <w:rFonts w:hint="eastAsia" w:ascii="新宋体" w:hAnsi="新宋体" w:eastAsia="新宋体" w:cs="新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…………………………………………………</w:t>
      </w:r>
      <w:r>
        <w:rPr>
          <w:rFonts w:hint="eastAsia" w:ascii="新宋体" w:hAnsi="新宋体" w:eastAsia="新宋体" w:cs="新宋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方正小标宋_GBK" w:hAnsi="方正小标宋_GBK" w:eastAsia="方正小标宋_GBK" w:cs="方正小标宋_GBK"/>
          <w:b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全市经济发展情况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2020年，面对新冠肺炎疫情的巨大冲击和国内外复杂严峻的环境，全市上下科学统筹疫情防控和经济社会发展，认真落实“六保”任务，全面做好“六稳”工作，全市经济呈现持续恢复向好态势，“十三五”规划圆满收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14:textFill>
            <w14:solidFill>
              <w14:schemeClr w14:val="tx1"/>
            </w14:solidFill>
          </w14:textFill>
        </w:rPr>
        <w:t>根据地区生产总值统一核算结果，全年全市生产总值2045.0亿元，比上年增长3.9%。其中，第一产业增加值310.4亿元，增长3.0%；第二产业增加值719.6亿元，增长5.1%；第三产业增加值1015.0 亿元，增长3.0%。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楷体_GBK" w:hAnsi="方正楷体_GBK" w:eastAsia="方正楷体_GBK" w:cs="方正楷体_GBK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一）</w:t>
      </w:r>
      <w:r>
        <w:rPr>
          <w:rFonts w:hint="eastAsia" w:ascii="方正楷体_GBK" w:hAnsi="方正楷体_GBK" w:eastAsia="方正楷体_GBK" w:cs="方正楷体_GBK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粮食产量再创新高，畜牧业较快恢复。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全年全市农林牧渔业总产值607亿元，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长3.9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，粮食播种面积1407.3万亩，粮食产量达89.9亿斤，位居全省第四，比去年增加1.2亿斤，增长1.4％，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幅居全省第一，实现了“十七连丰”，粮食产量连续6年稳定在80亿斤以上。蔬菜及瓜果产量分别增长4.9％和4.5％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畜牧业生产较快恢复，肉类产量由降转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。四季度末，生猪存栏223.2万头，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增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长69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。全年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猪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牛羊禽肉产量50.71万吨，由前三季度下降2.6％转为增长1.2％，增幅高于全省2.6个百分点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rPr>
          <w:rFonts w:hint="eastAsia" w:ascii="方正仿宋_GBK" w:hAnsi="方正仿宋_GBK" w:eastAsia="方正仿宋_GBK" w:cs="方正仿宋_GBK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楷体_GBK" w:hAnsi="方正楷体_GBK" w:eastAsia="方正楷体_GBK" w:cs="方正楷体_GBK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二）</w:t>
      </w:r>
      <w:r>
        <w:rPr>
          <w:rFonts w:hint="eastAsia" w:ascii="方正楷体_GBK" w:hAnsi="方正楷体_GBK" w:eastAsia="方正楷体_GBK" w:cs="方正楷体_GBK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エ业生产增速加快，高新技术产业较快</w:t>
      </w:r>
      <w:r>
        <w:rPr>
          <w:rFonts w:hint="eastAsia" w:ascii="方正楷体_GBK" w:hAnsi="方正楷体_GBK" w:eastAsia="方正楷体_GBK" w:cs="方正楷体_GBK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增</w:t>
      </w:r>
      <w:r>
        <w:rPr>
          <w:rFonts w:hint="eastAsia" w:ascii="方正楷体_GBK" w:hAnsi="方正楷体_GBK" w:eastAsia="方正楷体_GBK" w:cs="方正楷体_GBK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长。</w:t>
      </w:r>
      <w:r>
        <w:rPr>
          <w:rFonts w:hint="eastAsia" w:ascii="方正仿宋_GBK" w:hAnsi="方正仿宋_GBK" w:eastAsia="方正仿宋_GBK" w:cs="方正仿宋_GBK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全年全市规上</w:t>
      </w:r>
      <w:r>
        <w:rPr>
          <w:rFonts w:hint="eastAsia" w:ascii="方正仿宋_GBK" w:hAnsi="方正仿宋_GBK" w:eastAsia="方正仿宋_GBK" w:cs="方正仿宋_GBK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工</w:t>
      </w:r>
      <w:r>
        <w:rPr>
          <w:rFonts w:hint="eastAsia" w:ascii="方正仿宋_GBK" w:hAnsi="方正仿宋_GBK" w:eastAsia="方正仿宋_GBK" w:cs="方正仿宋_GBK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业增加值增长5.3</w:t>
      </w:r>
      <w:r>
        <w:rPr>
          <w:rFonts w:hint="eastAsia" w:ascii="方正仿宋_GBK" w:hAnsi="方正仿宋_GBK" w:eastAsia="方正仿宋_GBK" w:cs="方正仿宋_GBK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方正仿宋_GBK" w:hAnsi="方正仿宋_GBK" w:eastAsia="方正仿宋_GBK" w:cs="方正仿宋_GBK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，比前三季度加快2.1个百分点，居全省第9位。从三大门类看，采矿业、制造业分别增长79.4％、5.0％，电力、热</w:t>
      </w:r>
      <w:r>
        <w:rPr>
          <w:rFonts w:hint="eastAsia" w:ascii="方正仿宋_GBK" w:hAnsi="方正仿宋_GBK" w:eastAsia="方正仿宋_GBK" w:cs="方正仿宋_GBK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力</w:t>
      </w:r>
      <w:r>
        <w:rPr>
          <w:rFonts w:hint="eastAsia" w:ascii="方正仿宋_GBK" w:hAnsi="方正仿宋_GBK" w:eastAsia="方正仿宋_GBK" w:cs="方正仿宋_GBK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、燃气及水生产和供应业下降0.5％。从新兴产业看，高新技术产业工业增加值同比增长21.5</w:t>
      </w:r>
      <w:r>
        <w:rPr>
          <w:rFonts w:hint="eastAsia" w:ascii="方正仿宋_GBK" w:hAnsi="方正仿宋_GBK" w:eastAsia="方正仿宋_GBK" w:cs="方正仿宋_GBK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%，</w:t>
      </w:r>
      <w:r>
        <w:rPr>
          <w:rFonts w:hint="eastAsia" w:ascii="方正仿宋_GBK" w:hAnsi="方正仿宋_GBK" w:eastAsia="方正仿宋_GBK" w:cs="方正仿宋_GBK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高于全省5.1个百分点，居全省第6位；战略性新兴产业产值同比增长14.6％，居全省第12位。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rPr>
          <w:rFonts w:hint="eastAsia" w:ascii="方正仿宋_GBK" w:hAnsi="方正仿宋_GBK" w:eastAsia="方正仿宋_GBK" w:cs="方正仿宋_GBK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楷体_GBK" w:hAnsi="方正楷体_GBK" w:eastAsia="方正楷体_GBK" w:cs="方正楷体_GBK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三）</w:t>
      </w:r>
      <w:r>
        <w:rPr>
          <w:rFonts w:hint="eastAsia" w:ascii="方正楷体_GBK" w:hAnsi="方正楷体_GBK" w:eastAsia="方正楷体_GBK" w:cs="方正楷体_GBK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服务业持续复苏，其他营利性服务业营业收入由负转正。</w:t>
      </w:r>
      <w:r>
        <w:rPr>
          <w:rFonts w:hint="eastAsia" w:ascii="方正仿宋_GBK" w:hAnsi="方正仿宋_GBK" w:eastAsia="方正仿宋_GBK" w:cs="方正仿宋_GBK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全年服务业增加值增长3.0</w:t>
      </w:r>
      <w:r>
        <w:rPr>
          <w:rFonts w:hint="eastAsia" w:ascii="方正仿宋_GBK" w:hAnsi="方正仿宋_GBK" w:eastAsia="方正仿宋_GBK" w:cs="方正仿宋_GBK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方正仿宋_GBK" w:hAnsi="方正仿宋_GBK" w:eastAsia="方正仿宋_GBK" w:cs="方正仿宋_GBK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，比上半年高2.1个百分点，比全省高0.2个百分点。1-11月，规模以上服务业企业营业收入同比增长4.0％，其中信息传输</w:t>
      </w:r>
      <w:r>
        <w:rPr>
          <w:rFonts w:hint="eastAsia" w:ascii="方正仿宋_GBK" w:hAnsi="方正仿宋_GBK" w:eastAsia="方正仿宋_GBK" w:cs="方正仿宋_GBK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软</w:t>
      </w:r>
      <w:r>
        <w:rPr>
          <w:rFonts w:hint="eastAsia" w:ascii="方正仿宋_GBK" w:hAnsi="方正仿宋_GBK" w:eastAsia="方正仿宋_GBK" w:cs="方正仿宋_GBK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件和信息技术服务业、科学研究和技术服务业分增长21.5％和9.3</w:t>
      </w:r>
      <w:r>
        <w:rPr>
          <w:rFonts w:hint="eastAsia" w:ascii="方正仿宋_GBK" w:hAnsi="方正仿宋_GBK" w:eastAsia="方正仿宋_GBK" w:cs="方正仿宋_GBK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方正仿宋_GBK" w:hAnsi="方正仿宋_GBK" w:eastAsia="方正仿宋_GBK" w:cs="方正仿宋_GBK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，租</w:t>
      </w:r>
      <w:r>
        <w:rPr>
          <w:rFonts w:hint="eastAsia" w:ascii="方正仿宋_GBK" w:hAnsi="方正仿宋_GBK" w:eastAsia="方正仿宋_GBK" w:cs="方正仿宋_GBK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赁</w:t>
      </w:r>
      <w:r>
        <w:rPr>
          <w:rFonts w:hint="eastAsia" w:ascii="方正仿宋_GBK" w:hAnsi="方正仿宋_GBK" w:eastAsia="方正仿宋_GBK" w:cs="方正仿宋_GBK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和商务服务业下降9.6％。其</w:t>
      </w:r>
      <w:r>
        <w:rPr>
          <w:rFonts w:hint="eastAsia" w:ascii="方正仿宋_GBK" w:hAnsi="方正仿宋_GBK" w:eastAsia="方正仿宋_GBK" w:cs="方正仿宋_GBK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他</w:t>
      </w:r>
      <w:r>
        <w:rPr>
          <w:rFonts w:hint="eastAsia" w:ascii="方正仿宋_GBK" w:hAnsi="方正仿宋_GBK" w:eastAsia="方正仿宋_GBK" w:cs="方正仿宋_GBK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营利性服务业企业营业收入由上半年下降3.3％转为增长13.0％。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rPr>
          <w:rFonts w:hint="eastAsia" w:ascii="方正仿宋_GBK" w:hAnsi="方正仿宋_GBK" w:eastAsia="方正仿宋_GBK" w:cs="方正仿宋_GBK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楷体_GBK" w:hAnsi="方正楷体_GBK" w:eastAsia="方正楷体_GBK" w:cs="方正楷体_GBK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四）</w:t>
      </w:r>
      <w:r>
        <w:rPr>
          <w:rFonts w:hint="eastAsia" w:ascii="方正楷体_GBK" w:hAnsi="方正楷体_GBK" w:eastAsia="方正楷体_GBK" w:cs="方正楷体_GBK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固定资产投资稳步回升，房地产开发投资</w:t>
      </w:r>
      <w:r>
        <w:rPr>
          <w:rFonts w:hint="eastAsia" w:ascii="方正楷体_GBK" w:hAnsi="方正楷体_GBK" w:eastAsia="方正楷体_GBK" w:cs="方正楷体_GBK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增</w:t>
      </w:r>
      <w:r>
        <w:rPr>
          <w:rFonts w:hint="eastAsia" w:ascii="方正楷体_GBK" w:hAnsi="方正楷体_GBK" w:eastAsia="方正楷体_GBK" w:cs="方正楷体_GBK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长较快。</w:t>
      </w:r>
      <w:r>
        <w:rPr>
          <w:rFonts w:hint="eastAsia" w:ascii="方正仿宋_GBK" w:hAnsi="方正仿宋_GBK" w:eastAsia="方正仿宋_GBK" w:cs="方正仿宋_GBK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全年全市固定资产投资增长5</w:t>
      </w:r>
      <w:r>
        <w:rPr>
          <w:rFonts w:hint="eastAsia" w:ascii="方正仿宋_GBK" w:hAnsi="方正仿宋_GBK" w:eastAsia="方正仿宋_GBK" w:cs="方正仿宋_GBK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方正仿宋_GBK" w:hAnsi="方正仿宋_GBK" w:eastAsia="方正仿宋_GBK" w:cs="方正仿宋_GBK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9％，比前</w:t>
      </w:r>
      <w:r>
        <w:rPr>
          <w:rFonts w:hint="eastAsia" w:ascii="方正仿宋_GBK" w:hAnsi="方正仿宋_GBK" w:eastAsia="方正仿宋_GBK" w:cs="方正仿宋_GBK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方正仿宋_GBK" w:hAnsi="方正仿宋_GBK" w:eastAsia="方正仿宋_GBK" w:cs="方正仿宋_GBK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季度高0.7个百分点，比全省高0.8个百分点，居全省第9位。其中，技改投资下降8.3％，居全省第13位;房地产开发投资增长29.7</w:t>
      </w:r>
      <w:r>
        <w:rPr>
          <w:rFonts w:hint="eastAsia" w:ascii="方正仿宋_GBK" w:hAnsi="方正仿宋_GBK" w:eastAsia="方正仿宋_GBK" w:cs="方正仿宋_GBK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方正仿宋_GBK" w:hAnsi="方正仿宋_GBK" w:eastAsia="方正仿宋_GBK" w:cs="方正仿宋_GBK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，居全省第1位；民间投资增长0.3％，居全省第10位。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rPr>
          <w:rFonts w:hint="eastAsia" w:ascii="方正仿宋_GBK" w:hAnsi="方正仿宋_GBK" w:eastAsia="方正仿宋_GBK" w:cs="方正仿宋_GBK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楷体_GBK" w:hAnsi="方正楷体_GBK" w:eastAsia="方正楷体_GBK" w:cs="方正楷体_GBK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五）</w:t>
      </w:r>
      <w:r>
        <w:rPr>
          <w:rFonts w:hint="eastAsia" w:ascii="方正楷体_GBK" w:hAnsi="方正楷体_GBK" w:eastAsia="方正楷体_GBK" w:cs="方正楷体_GBK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消费品市场逐步回暖，公共网络销售增长较快。</w:t>
      </w:r>
      <w:r>
        <w:rPr>
          <w:rFonts w:hint="eastAsia" w:ascii="方正仿宋_GBK" w:hAnsi="方正仿宋_GBK" w:eastAsia="方正仿宋_GBK" w:cs="方正仿宋_GBK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全年全市社会消费品零售总额1082.6亿元，增长3.3％，增幅高出全省0.7个百分点，居全省第3位。分城乡看，城镇零售额854.2亿元，增长2.7</w:t>
      </w:r>
      <w:r>
        <w:rPr>
          <w:rFonts w:hint="eastAsia" w:ascii="方正仿宋_GBK" w:hAnsi="方正仿宋_GBK" w:eastAsia="方正仿宋_GBK" w:cs="方正仿宋_GBK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%；</w:t>
      </w:r>
      <w:r>
        <w:rPr>
          <w:rFonts w:hint="eastAsia" w:ascii="方正仿宋_GBK" w:hAnsi="方正仿宋_GBK" w:eastAsia="方正仿宋_GBK" w:cs="方正仿宋_GBK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乡村零售额228.3亿元，增长5.8％。限额以上批发零售业中，粮油、食品类</w:t>
      </w:r>
      <w:r>
        <w:rPr>
          <w:rFonts w:hint="eastAsia" w:ascii="方正仿宋_GBK" w:hAnsi="方正仿宋_GBK" w:eastAsia="方正仿宋_GBK" w:cs="方正仿宋_GBK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增</w:t>
      </w:r>
      <w:r>
        <w:rPr>
          <w:rFonts w:hint="eastAsia" w:ascii="方正仿宋_GBK" w:hAnsi="方正仿宋_GBK" w:eastAsia="方正仿宋_GBK" w:cs="方正仿宋_GBK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长24.9％；日用品类增长29.0％；服装、鞋帽、针纺织品类下降3.3％；化</w:t>
      </w:r>
      <w:r>
        <w:rPr>
          <w:rFonts w:hint="eastAsia" w:ascii="方正仿宋_GBK" w:hAnsi="方正仿宋_GBK" w:eastAsia="方正仿宋_GBK" w:cs="方正仿宋_GBK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妆</w:t>
      </w:r>
      <w:r>
        <w:rPr>
          <w:rFonts w:hint="eastAsia" w:ascii="方正仿宋_GBK" w:hAnsi="方正仿宋_GBK" w:eastAsia="方正仿宋_GBK" w:cs="方正仿宋_GBK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品类下降18.8％；通过公共网络实现的商品销售增长31.6</w:t>
      </w:r>
      <w:r>
        <w:rPr>
          <w:rFonts w:hint="eastAsia" w:ascii="方正仿宋_GBK" w:hAnsi="方正仿宋_GBK" w:eastAsia="方正仿宋_GBK" w:cs="方正仿宋_GBK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方正仿宋_GBK" w:hAnsi="方正仿宋_GBK" w:eastAsia="方正仿宋_GBK" w:cs="方正仿宋_GBK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楷体_GBK" w:hAnsi="方正楷体_GBK" w:eastAsia="方正楷体_GBK" w:cs="方正楷体_GBK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六）</w:t>
      </w:r>
      <w:r>
        <w:rPr>
          <w:rFonts w:hint="eastAsia" w:ascii="方正楷体_GBK" w:hAnsi="方正楷体_GBK" w:eastAsia="方正楷体_GBK" w:cs="方正楷体_GBK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财政</w:t>
      </w:r>
      <w:r>
        <w:rPr>
          <w:rFonts w:hint="eastAsia" w:ascii="方正楷体_GBK" w:hAnsi="方正楷体_GBK" w:eastAsia="方正楷体_GBK" w:cs="方正楷体_GBK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收</w:t>
      </w:r>
      <w:r>
        <w:rPr>
          <w:rFonts w:hint="eastAsia" w:ascii="方正楷体_GBK" w:hAnsi="方正楷体_GBK" w:eastAsia="方正楷体_GBK" w:cs="方正楷体_GBK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支继续回升，</w:t>
      </w:r>
      <w:r>
        <w:rPr>
          <w:rFonts w:hint="eastAsia" w:ascii="方正楷体_GBK" w:hAnsi="方正楷体_GBK" w:eastAsia="方正楷体_GBK" w:cs="方正楷体_GBK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金</w:t>
      </w:r>
      <w:r>
        <w:rPr>
          <w:rFonts w:hint="eastAsia" w:ascii="方正楷体_GBK" w:hAnsi="方正楷体_GBK" w:eastAsia="方正楷体_GBK" w:cs="方正楷体_GBK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融运行保持稳定。</w:t>
      </w:r>
      <w:r>
        <w:rPr>
          <w:rFonts w:hint="eastAsia" w:ascii="方正仿宋_GBK" w:hAnsi="方正仿宋_GBK" w:eastAsia="方正仿宋_GBK" w:cs="方正仿宋_GBK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全年全市财政收入208.5亿元，增长3.6％。其中，税收收入161.0亿元，增长8.9</w:t>
      </w:r>
      <w:r>
        <w:rPr>
          <w:rFonts w:hint="eastAsia" w:ascii="方正仿宋_GBK" w:hAnsi="方正仿宋_GBK" w:eastAsia="方正仿宋_GBK" w:cs="方正仿宋_GBK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方正仿宋_GBK" w:hAnsi="方正仿宋_GBK" w:eastAsia="方正仿宋_GBK" w:cs="方正仿宋_GBK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，占全部财政收入比重为77.2</w:t>
      </w:r>
      <w:r>
        <w:rPr>
          <w:rFonts w:hint="eastAsia" w:ascii="方正仿宋_GBK" w:hAnsi="方正仿宋_GBK" w:eastAsia="方正仿宋_GBK" w:cs="方正仿宋_GBK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方正仿宋_GBK" w:hAnsi="方正仿宋_GBK" w:eastAsia="方正仿宋_GBK" w:cs="方正仿宋_GBK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。全市财政支出486.0亿元，增长8.0％。其中，民生支出416.3亿元，增长7.6％，占全部财政支出比重为85.7</w:t>
      </w:r>
      <w:r>
        <w:rPr>
          <w:rFonts w:hint="eastAsia" w:ascii="方正仿宋_GBK" w:hAnsi="方正仿宋_GBK" w:eastAsia="方正仿宋_GBK" w:cs="方正仿宋_GBK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方正仿宋_GBK" w:hAnsi="方正仿宋_GBK" w:eastAsia="方正仿宋_GBK" w:cs="方正仿宋_GBK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。12月末，全市金融机构各项存款余额2720.1亿元，增长8.8％，居全省第12位。其中，住户存款余额1821.1亿元，增长14</w:t>
      </w:r>
      <w:r>
        <w:rPr>
          <w:rFonts w:hint="eastAsia" w:ascii="方正仿宋_GBK" w:hAnsi="方正仿宋_GBK" w:eastAsia="方正仿宋_GBK" w:cs="方正仿宋_GBK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方正仿宋_GBK" w:hAnsi="方正仿宋_GBK" w:eastAsia="方正仿宋_GBK" w:cs="方正仿宋_GBK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。金融机构各项贷款余额2332.0亿元，增长23.0％，居全省第</w:t>
      </w:r>
      <w:r>
        <w:rPr>
          <w:rFonts w:hint="eastAsia" w:ascii="方正仿宋_GBK" w:hAnsi="方正仿宋_GBK" w:eastAsia="方正仿宋_GBK" w:cs="方正仿宋_GBK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仿宋_GBK" w:hAnsi="方正仿宋_GBK" w:eastAsia="方正仿宋_GBK" w:cs="方正仿宋_GBK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位。金融机构存贷比由6月末的79.0％提高到85.7</w:t>
      </w:r>
      <w:r>
        <w:rPr>
          <w:rFonts w:hint="eastAsia" w:ascii="方正仿宋_GBK" w:hAnsi="方正仿宋_GBK" w:eastAsia="方正仿宋_GBK" w:cs="方正仿宋_GBK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方正仿宋_GBK" w:hAnsi="方正仿宋_GBK" w:eastAsia="方正仿宋_GBK" w:cs="方正仿宋_GBK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（七）居民收入较快增长，物价涨幅回落。</w:t>
      </w:r>
      <w:r>
        <w:rPr>
          <w:rFonts w:hint="eastAsia" w:ascii="方正仿宋_GBK" w:hAnsi="方正仿宋_GBK" w:eastAsia="方正仿宋_GBK" w:cs="方正仿宋_GBK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全年全市城乡居民人均可支配收入22105元，增长7.3</w:t>
      </w:r>
      <w:r>
        <w:rPr>
          <w:rFonts w:hint="eastAsia" w:ascii="方正仿宋_GBK" w:hAnsi="方正仿宋_GBK" w:eastAsia="方正仿宋_GBK" w:cs="方正仿宋_GBK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%，</w:t>
      </w:r>
      <w:r>
        <w:rPr>
          <w:rFonts w:hint="eastAsia" w:ascii="方正仿宋_GBK" w:hAnsi="方正仿宋_GBK" w:eastAsia="方正仿宋_GBK" w:cs="方正仿宋_GBK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居全省第3位。其中，城镇常住居民人均可支配收入34373元，增长5.3</w:t>
      </w:r>
      <w:r>
        <w:rPr>
          <w:rFonts w:hint="eastAsia" w:ascii="方正仿宋_GBK" w:hAnsi="方正仿宋_GBK" w:eastAsia="方正仿宋_GBK" w:cs="方正仿宋_GBK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方正仿宋_GBK" w:hAnsi="方正仿宋_GBK" w:eastAsia="方正仿宋_GBK" w:cs="方正仿宋_GBK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，居全省12位；农村常住居民人均可支配收入14369元，增长8.8</w:t>
      </w:r>
      <w:r>
        <w:rPr>
          <w:rFonts w:hint="eastAsia" w:ascii="方正仿宋_GBK" w:hAnsi="方正仿宋_GBK" w:eastAsia="方正仿宋_GBK" w:cs="方正仿宋_GBK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方正仿宋_GBK" w:hAnsi="方正仿宋_GBK" w:eastAsia="方正仿宋_GBK" w:cs="方正仿宋_GBK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，居全省第3位。全年全市居民消费价格指数102.3％，上涨2.3％，比前三季度回落0.8个百分点，比全省低0.4个百分点。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二、全市质量状况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（一）产品质量状况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商品</w:t>
      </w:r>
      <w:r>
        <w:rPr>
          <w:rFonts w:hint="eastAsia" w:ascii="方正楷体_GBK" w:hAnsi="方正楷体_GBK" w:eastAsia="方正楷体_GBK" w:cs="方正楷体_GBK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质量状况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2020年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市级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产品质量监督抽检产（商）品总计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949批次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其中生产领域抽检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541批次，不合格21批次，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合格率9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网络交易商品抽检20批次，合格率100%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；流通领域抽检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388批次，不合格86批次，合格率77.84%。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（1）生产领域：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抽检人造板27家企业28组产品，合格率为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0 %；抽检危险化学品1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家企业15组产品，合格15组，合格率100%；抽检电线电缆5家企业4组产品，合格4组，合格率为100%；抽检食品相关产品30家31组，合格31组，合格率为100%；抽检服装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8家企业，30组产品，合格29组，合格率96.70 %；抽检化肥14家企业27组产品，合格27组，合格率100%；抽检水泥10家企业21组产品，合格21组，合格率为100%；抽检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烧结多孔砖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29家企业39组产品，合格29组，合格率74.36%；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抽检预拌混凝土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59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家企业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59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组产品，合格5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组，合格率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91.53%；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抽检配制眼镜17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家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287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组产品，合格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282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组，合格率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98.26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2）流通领域：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抽检建筑用钢筋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组产品，合格率100%；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水泥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48组产品，合格44组，合格率91.67%；复混肥料44组，合格42组，合格率95.50%；食品相关产品100组，合格87组，合格率87%；电线电缆28组，合格21组，合格率75%；生活用品（卫生纸）10组，合格8组，合格率80%；学生用品31组，合格29组，合格率93.55%；儿童用品10组，合格率100%；塑料购物袋30组，合格29组，合格率96.67%；电动车充电器10组，合格率100%；建筑用安全玻璃4组，合格率100%；输水管10组，合格9组，合格率90%；烟花爆竹15组，合格10组，合格率66.67%；消防产品5组，合格率100%；特种劳动保护产品15组，合格率100%；液化气15组，合格率100%；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车用尿素40组，不合格8组，合格率为80％；商品煤9组，合格率为100%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配制眼镜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107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组产品，合格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74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组，合格率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69.16%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抽检柴油65组，不合格4组，合格率为93.85%；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汽油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89组，合格78组，87.64%。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（3）网络交易商品抽检电水壶3组，合格率100%；电锅类4组，合格率100%；服装类10组，合格率100%；风扇3组，合格率100%。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2、食品药品质量状况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全市共有食品生产加工企业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579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家，小作坊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324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家，主要产品为粮食加工品、肉制品、饮料、罐头、酒类、糕点等。食品添加剂生产企业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020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年，我市完成省级食品安全抽检任务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1043批次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，不合格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30批次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，合格率为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97.13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市级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食品安全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抽检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3758批次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，不合格产品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113批次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，合格率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97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，其中，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市级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食品监督抽检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2458批次，不合格70批次，合格率97.15%；市级食用农产品（流通领域）抽检1300批次，不合格55批次，合格率95.77%。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县（区）级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食品安全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抽检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10623批次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，不合格产品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104批次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，合格率9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9.02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％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县（区）级食用药品抽检5729批次，不合格158批次，合格率97.24%。市级药品（含中药材）抽检90批次，中药材不合格7批次，合格率92.22%。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ascii="方正楷体_GBK" w:hAnsi="方正楷体_GBK" w:eastAsia="方正楷体_GBK" w:cs="方正楷体_GBK"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  <w:t>农产品质量状况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color w:val="000000"/>
          <w:szCs w:val="32"/>
        </w:rPr>
      </w:pPr>
      <w:r>
        <w:rPr>
          <w:rFonts w:hint="eastAsia" w:ascii="方正仿宋_GBK" w:hAnsi="方正仿宋_GBK" w:eastAsia="方正仿宋_GBK" w:cs="方正仿宋_GBK"/>
          <w:szCs w:val="32"/>
        </w:rPr>
        <w:t>2020年度，完成省级例行（风险监测）蔬菜样品182批次、畜禽样品60批次、水产品样品 36批次，合格率100%。制定市级农产品质量安全监测计划，市级开展了例行监测（风险监测）、专项监测、监督抽检和飞行抽检，抽检蔬菜、水果、畜产品样品417</w:t>
      </w:r>
      <w:r>
        <w:rPr>
          <w:rFonts w:hint="eastAsia" w:ascii="方正仿宋_GBK" w:hAnsi="方正仿宋_GBK" w:eastAsia="方正仿宋_GBK" w:cs="方正仿宋_GBK"/>
          <w:szCs w:val="32"/>
          <w:lang w:val="zh-CN"/>
        </w:rPr>
        <w:t>批次，合格率保持在</w:t>
      </w:r>
      <w:r>
        <w:rPr>
          <w:rFonts w:hint="eastAsia" w:ascii="方正仿宋_GBK" w:hAnsi="方正仿宋_GBK" w:eastAsia="方正仿宋_GBK" w:cs="方正仿宋_GBK"/>
          <w:szCs w:val="32"/>
        </w:rPr>
        <w:t>9</w:t>
      </w:r>
      <w:r>
        <w:rPr>
          <w:rFonts w:ascii="方正仿宋_GBK" w:hAnsi="方正仿宋_GBK" w:eastAsia="方正仿宋_GBK" w:cs="方正仿宋_GBK"/>
          <w:szCs w:val="32"/>
        </w:rPr>
        <w:t>8</w:t>
      </w:r>
      <w:r>
        <w:rPr>
          <w:rFonts w:hint="eastAsia" w:ascii="方正仿宋_GBK" w:hAnsi="方正仿宋_GBK" w:eastAsia="方正仿宋_GBK" w:cs="方正仿宋_GBK"/>
          <w:szCs w:val="32"/>
        </w:rPr>
        <w:t>%</w:t>
      </w:r>
      <w:r>
        <w:rPr>
          <w:rFonts w:hint="eastAsia" w:ascii="方正仿宋_GBK" w:hAnsi="方正仿宋_GBK" w:eastAsia="方正仿宋_GBK" w:cs="方正仿宋_GBK"/>
          <w:color w:val="000000"/>
          <w:szCs w:val="32"/>
        </w:rPr>
        <w:t>以上</w:t>
      </w:r>
      <w:r>
        <w:rPr>
          <w:rFonts w:hint="eastAsia" w:ascii="方正仿宋_GBK" w:hAnsi="方正仿宋_GBK" w:eastAsia="方正仿宋_GBK" w:cs="方正仿宋_GBK"/>
          <w:color w:val="000000"/>
          <w:szCs w:val="32"/>
          <w:lang w:val="zh-CN"/>
        </w:rPr>
        <w:t>。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Cs w:val="32"/>
        </w:rPr>
      </w:pPr>
      <w:r>
        <w:rPr>
          <w:rFonts w:hint="eastAsia" w:ascii="方正仿宋_GBK" w:hAnsi="方正仿宋_GBK" w:eastAsia="方正仿宋_GBK" w:cs="方正仿宋_GBK"/>
          <w:szCs w:val="32"/>
        </w:rPr>
        <w:t>全市定量检测各类食用农产品6026批次，全市人口569.52万人，农产品质量安全定量检测样本量达1.058批次/千人。</w:t>
      </w:r>
    </w:p>
    <w:p>
      <w:pPr>
        <w:spacing w:line="560" w:lineRule="exact"/>
        <w:ind w:firstLine="640" w:firstLineChars="200"/>
        <w:rPr>
          <w:rFonts w:ascii="方正楷体_GBK" w:hAnsi="方正楷体_GBK" w:eastAsia="方正楷体_GBK" w:cs="方正楷体_GBK"/>
          <w:bCs/>
          <w:color w:val="C00000"/>
          <w:szCs w:val="32"/>
        </w:rPr>
      </w:pPr>
      <w:r>
        <w:rPr>
          <w:rFonts w:hint="eastAsia" w:ascii="方正仿宋_GBK" w:hAnsi="方正仿宋_GBK" w:eastAsia="方正仿宋_GBK" w:cs="方正仿宋_GBK"/>
          <w:szCs w:val="32"/>
        </w:rPr>
        <w:t>已建成市级农产品质量检测中心1个，县级农产品质量检测站5个，建立乡镇农产品质量安全监测站90个（298套乡镇快检系统），累计上传快速检测数据40多万批次，</w:t>
      </w:r>
      <w:r>
        <w:rPr>
          <w:rFonts w:hint="eastAsia" w:ascii="方正仿宋_GBK" w:hAnsi="方正仿宋_GBK" w:eastAsia="方正仿宋_GBK" w:cs="方正仿宋_GBK"/>
          <w:color w:val="000000"/>
          <w:szCs w:val="32"/>
          <w:lang w:val="zh-CN"/>
        </w:rPr>
        <w:t>合格率</w:t>
      </w:r>
      <w:r>
        <w:rPr>
          <w:rFonts w:hint="eastAsia" w:ascii="方正仿宋_GBK" w:hAnsi="方正仿宋_GBK" w:eastAsia="方正仿宋_GBK" w:cs="方正仿宋_GBK"/>
          <w:color w:val="000000"/>
          <w:szCs w:val="32"/>
        </w:rPr>
        <w:t>99.9%以上</w:t>
      </w:r>
      <w:r>
        <w:rPr>
          <w:rFonts w:hint="eastAsia" w:ascii="方正仿宋_GBK" w:hAnsi="方正仿宋_GBK" w:eastAsia="方正仿宋_GBK" w:cs="方正仿宋_GBK"/>
          <w:szCs w:val="32"/>
        </w:rPr>
        <w:t>。</w:t>
      </w:r>
    </w:p>
    <w:p>
      <w:pPr>
        <w:spacing w:line="560" w:lineRule="exact"/>
        <w:ind w:firstLine="640" w:firstLineChars="200"/>
        <w:rPr>
          <w:rFonts w:ascii="方正楷体_GBK" w:hAnsi="方正楷体_GBK" w:eastAsia="方正楷体_GBK" w:cs="方正楷体_GBK"/>
          <w:bCs/>
          <w:color w:val="C00000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Cs w:val="32"/>
        </w:rPr>
        <w:t>全市已创建国家级果树标准园18个，省级20个，市级41个；国家级蔬菜标准园14个，省级42个，市级57个；省部级畜禽标准化养殖场52个，市级103个；农业农村部水产健康养殖示范场7个。</w:t>
      </w:r>
      <w:r>
        <w:rPr>
          <w:rFonts w:hint="eastAsia" w:ascii="方正仿宋_GBK" w:hAnsi="方正仿宋_GBK" w:eastAsia="方正仿宋_GBK" w:cs="方正仿宋_GBK"/>
          <w:szCs w:val="32"/>
        </w:rPr>
        <w:t>全市115家农业企业及合作社134个产品获得无公害农产品认证，126家企业152个产品获得绿色食品认证，7家企业18个产品获得有机食品认证，2家企业4个产品获得地理标志认证。四县一区全部获得安徽省农产品质量安全县称号，砀山县获得国家级农产品质量安全县称号，农产品质量安全县创建实现全覆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方正楷体_GBK" w:hAnsi="方正楷体_GBK" w:eastAsia="方正楷体_GBK" w:cs="方正楷体_GBK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（二）工程质量状况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楷体_GBK" w:hAnsi="方正楷体_GBK" w:eastAsia="方正楷体_GBK" w:cs="方正楷体_GBK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1、建设工程质量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20全市建设工程质量稳中有升，未发生严重质量事故。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建立从设计、施工、监理到竣工验收备案等环节的监管机制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，组织检测人员，制定检测方案，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排查全市在建工程，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年监督建设工程面积约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400多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万平方米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。全面检测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龄期在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60天以上的柱（剪力墙）和梁等结构构件的混凝土强度，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市区（含园区）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共检测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174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项，各县、区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检测262项，委托有资质的检测机构进行复测，处理少数混凝土强度不达标单体工程个别构件，确保建设工程结构质量安全。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通过“双随机、一公开”的形式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按季开展在建工程质量巡查，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共检查在建工程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232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项，签发整改通知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16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份，消除建设工程质量隐患，确保建设工程质量安全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度计划装配式建筑占全年新建建筑的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15%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（含钢结构工业建筑）。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实际全市装配式建筑竣工面积165.89万平米，占新建建筑面积的17.1%。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工程建筑节能设计、施工图节能审查率施工现场建筑节能实施均达到了100%。其中居住建筑全部按照50%节能目标设计建造，公共建筑按照65%节能目标设计建造。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2020年，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埇桥区道东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16#地块棚改项目被评为安徽省“装配式建筑示范项目”。20多项工程获得市级质量标准化示范工程，30多项工程获得市优“金鸡杯”奖，8项工程获得省优“黄山杯”奖。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楷体_GBK" w:hAnsi="方正楷体_GBK" w:eastAsia="方正楷体_GBK" w:cs="方正楷体_GBK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交通工程质量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14:textFill>
            <w14:solidFill>
              <w14:schemeClr w14:val="tx1"/>
            </w14:solidFill>
          </w14:textFill>
        </w:rPr>
        <w:t>年，我市交通工程质量保障体系不断完善，工程质量、安全监督管理力度不断加大，工程实体质量稳中有升。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全年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国省干线一级公路建设项目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8个，总建设规模约138公里，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监督一级公路建设项目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个，共计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47.044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公里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一级公路建设项目督查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次（其中综合督查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次，专项督查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次），监督指导全市农村公路巡查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次，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无安全生产事故，工程项目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14:textFill>
            <w14:solidFill>
              <w14:schemeClr w14:val="tx1"/>
            </w14:solidFill>
          </w14:textFill>
        </w:rPr>
        <w:t>监督覆盖率达到100%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方正仿宋_GBK" w:hAnsi="方正仿宋_GBK" w:eastAsia="方正仿宋_GBK" w:cs="方正仿宋_GBK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开展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“坚守公路水运工程质量安全红线”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专项行动，制定下发《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宿州市交通运输局关于印发“坚守公路水运工程质量安全红线”专项行动方案的通知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》（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14:textFill>
            <w14:solidFill>
              <w14:schemeClr w14:val="tx1"/>
            </w14:solidFill>
          </w14:textFill>
        </w:rPr>
        <w:t>宿交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路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14:textFill>
            <w14:solidFill>
              <w14:schemeClr w14:val="tx1"/>
            </w14:solidFill>
          </w14:textFill>
        </w:rPr>
        <w:t>〔20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 xml:space="preserve">2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14:textFill>
            <w14:solidFill>
              <w14:schemeClr w14:val="tx1"/>
            </w14:solidFill>
          </w14:textFill>
        </w:rPr>
        <w:t>号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），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全部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“质量安全红线”问题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整改完毕。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新改建公交站点178个，新开通公交线路3条，我市共有营运线路40条，线路总长度693.8公里，市内公交线网实现了主城区全覆盖。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泗县获批为省级“四好农村路”示范县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G310黄口至河南界改造工程砀山段及S239萧淮路改建工程2个一级公路项目荣获安徽省交通优质工程奖；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S404宿城至皖苏界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一级公路改建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工程列入我省首批普通国省干线公路品质工程创建示范项目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并且荣获市优“金鸡杯”奖，正在逐级申报省部级奖项。宿州市公交公司荣获“全国交通运输系统先进集体”称号。 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水利工程质量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2020年，市水利局通过水利工程质量提升等活动，以保证结构安全、完善主要使用功能，推动水利工程质量全面提升，确保国家重点建设的水利工程的耐久性、安全性普遍增强，水利工程质量通病治理取得显著成效。竣工交付使用的水利工程100％达到国家规范标准，大中型水利工程一次验收合格率达到100％，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  <w:t>安徽省新汴河治理工程通过竣工验收，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全年水利工程建设未发生一般及以上质量事故，单位工程质量合格率达到100％。全市在建项目共6个项目，其中县级监督项目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4个：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砀山县林屯水库工程、萧县闸河治理工程、泗县唐河治理工程（二期）、埇桥区运粮河治理二期工程；市级监督项目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2个：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安徽省怀洪新河水系洼地治理工程、安徽省新汴河灌区续建配套与节水改造项目。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安徽省淮水北调工程娄宋站工程荣获2020年度安徽省水利工程“禹王杯”奖，市水利局连续在全省水利质量考核中被评为A级。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加强信用信息管理和应用，配合健全省水利信用体系建设。实行质量与安全监督分级管控，加强机构建设和人员配备，四县一区均成立质量监督机构，负责辖区内水利工程的质量监督工作。市县在建基建项目质量监督率达100％，严格按照法律法规加强水利工程质量监管，实现在建工程质量安全监督检查全覆盖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582"/>
        </w:tabs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582"/>
        </w:tabs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方正楷体_GBK" w:hAnsi="方正楷体_GBK" w:eastAsia="方正楷体_GBK" w:cs="方正楷体_GBK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黑体_GBK" w:hAnsi="方正黑体_GBK" w:eastAsia="方正黑体_GBK" w:cs="方正黑体_GBK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三）</w:t>
      </w:r>
      <w:r>
        <w:rPr>
          <w:rFonts w:hint="eastAsia" w:ascii="方正黑体_GBK" w:hAnsi="方正黑体_GBK" w:eastAsia="方正黑体_GBK" w:cs="方正黑体_GBK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服务质量状况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rPr>
          <w:rFonts w:hint="eastAsia" w:ascii="方正楷体_GBK" w:hAnsi="方正楷体_GBK" w:eastAsia="方正楷体_GBK" w:cs="方正楷体_GBK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1、文化旅游服务质量状况</w:t>
      </w:r>
    </w:p>
    <w:p>
      <w:pPr>
        <w:pStyle w:val="1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2020年，我市旅游行业监管措施实施有力，文化旅游服务质量不断提升，旅游市场秩序平稳规范，文明旅游和志愿服务活动开展扎实，旅游投诉机制健全，旅游市场黑名单管理制度规范，无安全生产事故，无重大服务质量事件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kern w:val="2"/>
          <w:sz w:val="32"/>
          <w:szCs w:val="32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结合创建全国文明城市工作要求，扎实开展文明旅游和志愿服务活动。在重要节假日，依托文明旅游志愿服务队和学雷锋志愿服务站等，开展文明旅游宣传和旅游志愿服务“六进”：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进A级景区、进旅行社、进星级饭店、进广场、进社区、进校园</w:t>
      </w:r>
      <w:r>
        <w:rPr>
          <w:rFonts w:hint="eastAsia" w:ascii="方正仿宋_GBK" w:hAnsi="方正仿宋_GBK" w:eastAsia="方正仿宋_GBK" w:cs="方正仿宋_GBK"/>
          <w:color w:val="000000" w:themeColor="text1"/>
          <w:kern w:val="2"/>
          <w:sz w:val="32"/>
          <w:szCs w:val="32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活动。2020年度，共开展各类志愿服务活动20多次，发放宣传材料约45000份，接受服务咨询约1000人次。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在“中国旅游志愿者”网站注册并加入“宿州市旅游志愿者总队”的志愿者已突破400人。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依托全国旅游服务监管平台和安徽省事中事后监管服务平台，归集文旅企业信息512家，全面归集导游员信息276人，旅行社设立许可1件、旅游投诉受理5件、旅行社备案登记57件，2020年组织旅行社经营单位做出信用承诺并公示49家，并已上传到“信用宿州”平台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举办“宿州市导游大赛”，评选“宿州市金牌导游员”12人；获评安徽省金牌导游3人。积极参与安徽文旅系列品牌推选活动，2020年获评安徽省百家乡村旅游（扶贫）示范村5家、百佳农家乐4家、百家精品民宿2家；安徽省十家最美公共图书馆1家（宿州市泗县图书馆）；安徽省十家最美博物馆1家（宿州市博物馆）；获评安徽省百佳旅行社3家（宿州市教育旅行社、宿州交通旅行社、宿州市华夏旅行社）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rPr>
          <w:rFonts w:hint="default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充分发挥乡村旅游品牌的示范带动作用，组织推荐砀山县良梨镇良梨村、良梨镇马庄村、萧县官桥镇高庄村、埇桥区夹沟镇镇头村、埇桥区永镇乡关湖村、灵璧县虞姬乡虞姬村、泗县大庄镇曙光村等7处获评首批安徽省特色旅游名村；砀山县梨树王庄园、魏寨听荷书屋、泗县慧佳农业生态园、萧县饮马泉山庄、埇桥区市外桃源农家乐、隐·宿度假酒店等6处获评首批安徽省省级休闲旅游示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方正楷体_GBK" w:hAnsi="方正楷体_GBK" w:eastAsia="方正楷体_GBK" w:cs="方正楷体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2020年通过省级标准化服务业试点单位验收；现有宿州市博物馆、砀山梨树王景区、灵璧现代农业博览园等4A级旅游景区6处，萧县皇藏峪景区和宿州新汴河景区已启动5A级旅游景区创建工作，萧县蔡洼淮海战役红色旅游景区通过创4A省级景观价值评审，灵璧钟馗文化园创4A持续推进；据第三方旅游服务质量满意度课题调查，游客满意度稳定在98%以上，旅游市场秩序持续平稳向好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leftChars="0" w:firstLine="640" w:firstLineChars="200"/>
        <w:jc w:val="both"/>
        <w:rPr>
          <w:rFonts w:hint="eastAsia" w:ascii="方正楷体_GBK" w:hAnsi="方正楷体_GBK" w:eastAsia="方正楷体_GBK" w:cs="方正楷体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2、医疗卫生服务质量状况</w:t>
      </w:r>
    </w:p>
    <w:p>
      <w:pPr>
        <w:ind w:firstLine="640"/>
        <w:jc w:val="both"/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推进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医疗质量管理与控制体系建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设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成立48个市级专业质控中心，范围涵盖各临床、医技科室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实现核心专业全覆盖。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各县区成立相应专业的县级质控中心共计10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个，基本形成了横向到边、纵向到底的质控网络工作格局。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部门联动，加强质控督查，2020年，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共计开展医疗质量检查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49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次，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参与检查专家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120余人，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检查医疗机构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45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家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加大培训力度，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开展会议及培训45次、共培训5000余人，开展多种形式的竞赛活动11次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提高各专业医疗质量和医疗服务水平，促进各级医疗机构规范化诊疗。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加强医疗技术临床应用管理，对市发证医疗机构开展的限制类医疗技术进行备案，并依托质控中心进行监管。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市医疗装备质控中心团队在第十届中国好医工团队评选中获得“中国优秀临床工程团队 最具医工精神展现团队”称号。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环境质量状况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2020年，宿州市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坚持以十九大精神和习近平</w:t>
      </w:r>
      <w:r>
        <w:rPr>
          <w:rStyle w:val="9"/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生态文明思想为指导，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深入开展三大污染防治攻坚战，大力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实施大气污染防治行动计划、水污染防治行动计划、土壤污染防治行动计划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改善生态环境质量、加强生态文明制度建设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全市生态环境质量持续改善向好，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大气、水、土壤污染防治三大战役取得阶段性成效，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2020年，我市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大气环境质量改善幅度跃居全国第一，水环境质量和大气环境质量目标考核首次实现双达标。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环保督察整改扎实有效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基本形成党政同责，环保监管，部门联动，长效督查，媒体监督，群众参与的突出环境问题整改工作机制。集中开展散乱污整治行动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启动“散乱污”企业“清零”专项行动，推动未完成整治企业加快整治进度。部门协同，常态化推进“绿盾行动”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扎实推进自然保护区监督检查专项治理。通过国家级自然保护地遥感监测卫星对全市3个国家级自然保护地、6个省级自然保护区、6个省级自然保护地进行全面核查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针对湖泊、河道、各类自然保护地及生态保护红线等重点区域，实施“一类一策”，分类推进整改工作。严格环境准入，依法执行环境影响评价和“三同时”制度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从源头控制增量。实施空间、总量、项目“三位一体”的环境准入制度，实施“等量淘汰 (置换)”或“减量淘汰(置换)”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完成项目“三同时”验收，“三同时”执行率100% 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大气治理初见成效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围绕打赢蓝天保卫战三年行动计划，强力推进产业结构、交通结构、能源结构、用地结构等四大结构调整，认真组织实施控车、控煤、控气、控烧、控尘等“五控”措施，扎实推进主城区扬尘污染防治、餐饮油烟、汽车尾气、原煤散烧、非道路移动、有机挥发物、秸秆禁烧、锅炉整治、交通运输等九大污染源集中整治取得阶段性成效。持续加大大气污染防治监测、精细化管理系统和信息化建设，现代化立体监测网格化体系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全面建成。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Chars="200"/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碧水攻坚战重点治理工程推深做实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坚持“点面结合，水陆并重，城乡统筹”的水污染防治工作方略，强力推进工业污染源治理、流域水环境治理和城乡生活污水综合治理。加快推进河道综合治理工程、工业集聚区污水收集处理工程、乡镇生活污水收集处理工程、污水收集处理提升工程、农作物秸秆综合利用提升工程、氟化物治理专项工程、地表水监测预警专项工程、农村人居环境改善工程等“八个专项治理工程”，巩固和扩大水污染防治成果。沱河、岱河、龙河、利民河、小黄河等小流域水污染防治得到了有效治理。主城区12条黑臭水体全部通过省住建厅和生态环境厅的联合验收，达到“初见成效”的治理要求，黑臭水体消除比例达91%。全市已建成的城镇污水处理能力达到46万吨/日，实际处理生活污水30万吨/日，城市污水集中处理率达到85%以上，每年可削减COD 13000吨。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全力推进7个省级工业集聚区的污水集中处理水平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完成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各工污水集中处理设施建设，工业和生活污水基本实现能收尽收，在线监控设施实现联网运行，管理水平和管理效率明显提升。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3、</w:t>
      </w: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智慧环保服务三大污染防治攻坚战能力显著提升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强化信息化、智慧化和数字化供给侧服务保障能力，推进生态环境决策和管理精准化、科学化。十三五期间，陆续组织实施了大气110指挥系统、大气微站点监测系统、水环境预警监测系统、重点污染源视频监控系统“三个全覆盖”等一系列环境监管信息化建设，并取得阶段性成效。其中，重点污染源“三个全覆盖”一期项目已经建设完成，44家重点污染源在线监测、视频监控已与省联网运行；省级以上6个工业园区三个全覆盖项目建设 “三个全覆盖”基本建成。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default" w:ascii="方正仿宋_GBK" w:hAnsi="方正仿宋_GBK" w:eastAsia="仿宋_GB2312" w:cs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品</w:t>
      </w:r>
      <w:r>
        <w:rPr>
          <w:rFonts w:hint="eastAsia" w:ascii="方正黑体_GBK" w:hAnsi="方正黑体_GBK" w:eastAsia="方正黑体_GBK" w:cs="方正黑体_GBK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牌战略实施情况</w:t>
      </w:r>
    </w:p>
    <w:p>
      <w:pPr>
        <w:keepNext w:val="0"/>
        <w:keepLines w:val="0"/>
        <w:pageBreakBefore w:val="0"/>
        <w:tabs>
          <w:tab w:val="left" w:pos="312"/>
        </w:tabs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全面推进放心消费创建及放心消费创建进乡村活动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全市12756户企业（店）参与放心消费创建，认定县级示范单位671户、市级示范单位109户、省级示范单位8户，放心消费创建示范街10条。引导152户大型零售超市和示范企业（店）开展线下购物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七天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无理由退换货。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激发质量创新活力，鼓励企业开展质量提升小组活动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报35个省制造强省项目，获得3414万省专项资金支持。新申报省级企业技术中心8家，获评5家。安徽淮宿建材有限公司、安徽东平木业有限公司被评为省技术创新示范企业。培育壮大民族企业和知名品牌，引导企业提升产品和服务附加值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方正仿宋_GBK" w:hAnsi="方正仿宋_GBK" w:eastAsia="方正仿宋_GBK" w:cs="方正仿宋_GBK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安徽佳力奇先进复合材料科技股份公司复合材料加筋壁板等6个产品获批“安徽工业精品”。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开展制造业质量标准提升行动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培育28个“安徽省工业精品”、3家工业和信息化领域标准化示范企业，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5家企业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入选安徽省制造业高端品牌培育企业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，2家企业申报安徽省人民政府质量奖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。宿州市昭德轩餐饮服务有限公司等 7家企业成功申报“安徽老字号”，南翔云集成功申报“安徽省特色商业街”。市级重要产品追溯体系管理平台已于2020年9月建成，并通过验收。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积极开展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创建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全国质量强市示范城市、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全省食品药品安全城市和农产品质量安全县工作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。砀山县获得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国家级农产品安全县创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建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称号，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砀山县、萧县、泗县、埇桥区、灵璧县获得安徽省农产品安全县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称号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，泗县、砀山县、灵璧县荣获“安徽省质量强县”称号，埇桥区、萧县完成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创建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“安徽省质量强县”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市级预验收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工作，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宿马现代产业园区荣获工信部“第五批绿色工业园区”称号，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宿州市荣获“第六届全国文明城市”称号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存在的主要问题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20" w:firstLineChars="20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2020年，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全市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产品质量、工程质量、服务质量、环境质量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全面提升，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质量监管日趋规范，质量成效更加明显，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经济社会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实现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持续健康协调发展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但仍存在不容忽视的问题，质量建设仍然任重道远。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leftChars="200" w:right="0" w:rightChars="0"/>
        <w:jc w:val="both"/>
        <w:rPr>
          <w:rFonts w:hint="eastAsia" w:ascii="方正黑体_GBK" w:hAnsi="方正黑体_GBK" w:eastAsia="方正黑体_GBK" w:cs="方正黑体_GBK"/>
          <w:b w:val="0"/>
          <w:bCs w:val="0"/>
          <w:color w:val="000000" w:themeColor="text1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 w:themeColor="text1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（一）质量发展法规政策不完善，工作方法创新不足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部分质量法规政策不够健全，支持和鼓励企业品牌建设力度不够，一定程度上影响品牌数量提升。相关部门互动性不强，合作不密切，各部门协调联动、共抓共管的工作体系需进一步完善。</w:t>
      </w:r>
      <w:r>
        <w:rPr>
          <w:rFonts w:hint="eastAsia" w:ascii="方正仿宋_GBK" w:hAnsi="方正仿宋_GBK" w:eastAsia="方正仿宋_GBK" w:cs="方正仿宋_GBK"/>
          <w:color w:val="000000" w:themeColor="text1"/>
          <w:kern w:val="2"/>
          <w14:textFill>
            <w14:solidFill>
              <w14:schemeClr w14:val="tx1"/>
            </w14:solidFill>
          </w14:textFill>
        </w:rPr>
        <w:t>质量工作开展缺少原创性作品</w:t>
      </w:r>
      <w:r>
        <w:rPr>
          <w:rFonts w:hint="eastAsia" w:ascii="方正仿宋_GBK" w:hAnsi="方正仿宋_GBK" w:eastAsia="方正仿宋_GBK" w:cs="方正仿宋_GBK"/>
          <w:color w:val="000000" w:themeColor="text1"/>
          <w:kern w:val="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方正仿宋_GBK" w:hAnsi="方正仿宋_GBK" w:eastAsia="方正仿宋_GBK" w:cs="方正仿宋_GBK"/>
          <w:color w:val="000000" w:themeColor="text1"/>
          <w:kern w:val="2"/>
          <w14:textFill>
            <w14:solidFill>
              <w14:schemeClr w14:val="tx1"/>
            </w14:solidFill>
          </w14:textFill>
        </w:rPr>
        <w:t>缺少在全省、全国具有知名度的制度创新和方法创新</w:t>
      </w:r>
      <w:r>
        <w:rPr>
          <w:rFonts w:hint="eastAsia" w:ascii="方正仿宋_GBK" w:hAnsi="方正仿宋_GBK" w:eastAsia="方正仿宋_GBK" w:cs="方正仿宋_GBK"/>
          <w:color w:val="000000" w:themeColor="text1"/>
          <w:kern w:val="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质量工作开展机制缺少亮点，</w:t>
      </w:r>
      <w:r>
        <w:rPr>
          <w:rFonts w:hint="eastAsia" w:ascii="方正仿宋_GBK" w:hAnsi="方正仿宋_GBK" w:eastAsia="方正仿宋_GBK" w:cs="方正仿宋_GBK"/>
          <w:color w:val="000000" w:themeColor="text1"/>
          <w:kern w:val="2"/>
          <w:lang w:val="en-US" w:eastAsia="zh-CN"/>
          <w14:textFill>
            <w14:solidFill>
              <w14:schemeClr w14:val="tx1"/>
            </w14:solidFill>
          </w14:textFill>
        </w:rPr>
        <w:t>创造创新能力有待提高。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left="0" w:leftChars="0" w:right="0" w:firstLine="640" w:firstLineChars="200"/>
        <w:jc w:val="both"/>
        <w:rPr>
          <w:rFonts w:hint="eastAsia" w:ascii="方正黑体_GBK" w:hAnsi="方正黑体_GBK" w:eastAsia="方正黑体_GBK" w:cs="方正黑体_GBK"/>
          <w:b w:val="0"/>
          <w:bCs w:val="0"/>
          <w:color w:val="000000" w:themeColor="text1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 w:themeColor="text1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（二）质量品牌数量不多，竞争优势不大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baseline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虽然我市实施质量品牌战略取得一定成绩，但与我市经济社会各项事业的跨越发展相比，品牌发展仍显滞后，产业层次较低，科技创新能力较弱，产品质量总体水平不高。仍然存在企业对品牌战略认识不到位、创建品牌意识不强、品牌建设不重视等问题，进而导致我市质量品牌数量较少、规模较小、缺乏竞争优势和品牌影响力，无法代表宿州形象。2020年，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在全国和全省组织的一些企业竞赛上，我市企业底气和实力不足，在安徽省人民政府质量奖评审中，我市没有一家企业获奖。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rPr>
          <w:rFonts w:hint="eastAsia" w:ascii="方正黑体_GBK" w:hAnsi="方正黑体_GBK" w:eastAsia="方正黑体_GBK" w:cs="方正黑体_GBK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（三）质量提升基础设施薄弱，保障能力不足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是技术支撑能力有限。企业技术基础总体薄弱，创新意识不强，研发能力不足。现有检验机器落后老化，检验检测机构技术人员缺乏。二是资金保障能力不足。质量发展、知识产权奖励等政府激励政策有待细化落实，部分县区、园区质量激励资金不能及时兑现，质量管理资金投入较少。三是质量发展人才队伍有待加强。市场监管局作为质量发展牵头单位，人手少，专业化人员更少，队伍建设亟需加强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spacing w:beforeAutospacing="0" w:afterAutospacing="0" w:line="580" w:lineRule="exact"/>
        <w:ind w:leftChars="200" w:right="0" w:rightChars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000000" w:themeColor="text1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 w:themeColor="text1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（四）生产和生活服务质量仍需提升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40" w:firstLineChars="200"/>
        <w:textAlignment w:val="auto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我市服务业发展质量总体水平不高，与先进地区相比，仍有较大差距，存在服务品质不高、服务能力不强，服务质量不平衡等问题。服务行业质量体系认证还没有普及，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缺乏比较系统、规范、科学的服务质量标准和质量评价体系，滞后于经济发展和质量强市建设。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生产性服务业有待向专业化和价值链高端延伸，生活性服务业有待向高品质和多样化升级。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80" w:lineRule="exact"/>
        <w:ind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80" w:lineRule="exact"/>
        <w:ind w:leftChars="0" w:right="0" w:rightChars="0"/>
        <w:jc w:val="center"/>
        <w:textAlignment w:val="auto"/>
        <w:outlineLvl w:val="9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对策与建议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80" w:lineRule="exact"/>
        <w:ind w:left="0" w:right="0" w:firstLine="640" w:firstLineChars="200"/>
        <w:jc w:val="both"/>
        <w:textAlignment w:val="auto"/>
        <w:rPr>
          <w:rFonts w:hint="default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我市在开展质量提升工作方面，虽取得了一些成绩，但与上级的要求和群众的期盼还有很大的差距，下一步，我们将针对当前存在的主要质量问题，围绕高质量发展的总体目标，学习借鉴先进经验方法，强化质量管理，真抓实干，推动我市质量工作总体水平提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000000" w:themeColor="text1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一要强化组织领导，加强部门协作。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深入贯彻落实质量强国质量强省战略，按照质量提升工作“六个一”要求，扎实推进我市质量强市建设。围绕推进我市高质量发展，构建一个党政主要领导“双挂帅”、各部门齐抓共管、运行有力的质量发展工作体制机制，充分发挥质量发展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委员会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办公室议事协调机构作用，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加强各部门合作配合，交流总结质量提升经验，分析问题，共同推进我市质量工作与品牌建设。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二要实施品牌发展战略，培养精品名牌。</w:t>
      </w:r>
      <w:r>
        <w:rPr>
          <w:rFonts w:hint="eastAsia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加大企业宣传力度，增强企业品牌意识，培育优势企业，增强市场竞争力。加强品牌规划引导，开展制造业高端品牌企业培育，推动企业采用现代化质量管理方法，逐渐形成一批质量好、效益佳、市场占有率高、自主创新能力强、用户认可的知名制造业企业。积极开展政府质量奖评选活动，择优推荐参加省政府质量奖评选，支持重点产业和产品争创品牌，通过区域品牌的培育、经营，带动和促进区域产业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三要充实人员力量，增加经费保障。</w:t>
      </w:r>
      <w:r>
        <w:rPr>
          <w:rFonts w:hint="eastAsia" w:ascii="方正仿宋_GBK" w:hAnsi="方正仿宋_GBK" w:eastAsia="方正仿宋_GBK" w:cs="方正仿宋_GBK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提高质量工作经费投入，完善质量基础设施建设，不断升级技术装备，增强检测能力。修订完善促进高质量发展的质量政策，推动各县区、园区出台设立质量发展基金等激励措施。加强人员力量，充实基层从事质量发展工作人员。推动质量发展入学入校，把质量发展纳入党委中心理论组学习和党校、行政学院以及各类干部培训活动教学计划，加强业务能力培训，提高质量工作人员水平、能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000000" w:themeColor="text1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四要加大宣传力度，营造浓厚氛围。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充分利用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电视、报纸、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网站、微信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公众号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信息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平台，加大宣传力度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宣传党和国家质量工作方针政策和我市质量工作决策部署，深入报道我市质量提升的丰富实践，提升质量意识，增加质量相关知识。推动“质量月”和“中国品牌日”等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活动向纵深开展，开展质量品牌知识进机关、进企业、进校园、进乡镇、进社区活动。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形成“人人重视质量、人人创造质量、人人享受质量”的社会氛围。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五要进一步加强服务业质量提升工作。</w:t>
      </w:r>
      <w:r>
        <w:rPr>
          <w:rFonts w:hint="eastAsia" w:ascii="方正仿宋_GBK" w:hAnsi="方正仿宋_GBK" w:eastAsia="方正仿宋_GBK" w:cs="方正仿宋_GBK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各职能部门充分履职尽责，积极探索建立长效机制，完善服务行业质量体系和认证标准，加强对服务业质量监督监管。围绕密切关系民生的教育、医疗、餐饮、文娱等服务行业，大力开展质量安全隐患排查和专项治理活动，严厉打击质量违法行为，加大宣传引导和媒体曝光力度，进一步整顿和规范行业秩序，提升服务质量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eastAsia="方正仿宋_GBK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eastAsia="方正仿宋_GBK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eastAsia="方正仿宋_GBK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ind w:left="0" w:leftChars="0" w:firstLine="0" w:firstLineChars="0"/>
        <w:rPr>
          <w:rFonts w:hint="eastAsia" w:ascii="楷体" w:hAnsi="楷体" w:eastAsia="楷体" w:cs="楷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2"/>
        <w:ind w:left="0" w:leftChars="0" w:firstLine="0" w:firstLineChars="0"/>
        <w:rPr>
          <w:rFonts w:hint="eastAsia" w:ascii="楷体" w:hAnsi="楷体" w:eastAsia="楷体" w:cs="楷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2"/>
        <w:ind w:left="0" w:leftChars="0" w:firstLine="0" w:firstLineChars="0"/>
        <w:rPr>
          <w:rFonts w:hint="eastAsia" w:ascii="楷体" w:hAnsi="楷体" w:eastAsia="楷体" w:cs="楷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2"/>
        <w:ind w:left="0" w:leftChars="0" w:firstLine="0" w:firstLineChars="0"/>
        <w:rPr>
          <w:rFonts w:hint="eastAsia" w:ascii="楷体" w:hAnsi="楷体" w:eastAsia="楷体" w:cs="楷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2"/>
        <w:ind w:left="0" w:leftChars="0" w:firstLine="0" w:firstLineChars="0"/>
        <w:rPr>
          <w:rFonts w:hint="eastAsia" w:ascii="楷体" w:hAnsi="楷体" w:eastAsia="楷体" w:cs="楷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2"/>
        <w:ind w:left="0" w:leftChars="0" w:firstLine="0" w:firstLineChars="0"/>
        <w:rPr>
          <w:rFonts w:hint="eastAsia" w:ascii="楷体" w:hAnsi="楷体" w:eastAsia="楷体" w:cs="楷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2"/>
        <w:ind w:left="0" w:leftChars="0" w:firstLine="0" w:firstLineChars="0"/>
        <w:rPr>
          <w:rFonts w:hint="eastAsia" w:ascii="楷体" w:hAnsi="楷体" w:eastAsia="楷体" w:cs="楷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2"/>
        <w:ind w:left="0" w:leftChars="0" w:firstLine="0" w:firstLineChars="0"/>
        <w:rPr>
          <w:rFonts w:hint="eastAsia" w:ascii="楷体" w:hAnsi="楷体" w:eastAsia="楷体" w:cs="楷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2"/>
        <w:ind w:left="0" w:leftChars="0" w:firstLine="0" w:firstLineChars="0"/>
        <w:rPr>
          <w:rFonts w:hint="eastAsia" w:ascii="楷体" w:hAnsi="楷体" w:eastAsia="楷体" w:cs="楷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2"/>
        <w:ind w:left="0" w:leftChars="0" w:firstLine="0" w:firstLineChars="0"/>
        <w:rPr>
          <w:rFonts w:hint="eastAsia" w:ascii="楷体" w:hAnsi="楷体" w:eastAsia="楷体" w:cs="楷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2"/>
        <w:ind w:left="0" w:leftChars="0" w:firstLine="0" w:firstLineChars="0"/>
        <w:rPr>
          <w:rFonts w:hint="eastAsia" w:ascii="楷体" w:hAnsi="楷体" w:eastAsia="楷体" w:cs="楷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2"/>
        <w:ind w:left="0" w:leftChars="0" w:firstLine="0" w:firstLineChars="0"/>
        <w:rPr>
          <w:rFonts w:hint="eastAsia" w:ascii="楷体" w:hAnsi="楷体" w:eastAsia="楷体" w:cs="楷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2"/>
        <w:ind w:left="0" w:leftChars="0" w:firstLine="0" w:firstLineChars="0"/>
        <w:rPr>
          <w:rFonts w:hint="eastAsia" w:ascii="楷体" w:hAnsi="楷体" w:eastAsia="楷体" w:cs="楷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2"/>
        <w:ind w:left="0" w:leftChars="0" w:firstLine="0" w:firstLineChars="0"/>
        <w:rPr>
          <w:rFonts w:hint="eastAsia" w:ascii="楷体" w:hAnsi="楷体" w:eastAsia="楷体" w:cs="楷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方正楷体_GBK" w:hAnsi="方正楷体_GBK" w:eastAsia="方正楷体_GBK" w:cs="方正楷体_GBK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说明：本白皮书数据来源于市经济和信息化局、市农业农村局、市市场监督管理局、市生态环境局、市住房和城乡建设局、市文化和旅游局、市统计局、市卫生健康委员会、市交通运输局、市水利局、市财政局（国资委）等单位。</w:t>
      </w:r>
    </w:p>
    <w:sectPr>
      <w:footerReference r:id="rId4" w:type="default"/>
      <w:pgSz w:w="11906" w:h="16838"/>
      <w:pgMar w:top="1247" w:right="1361" w:bottom="1247" w:left="1361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楷体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楷体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6E5AF5"/>
    <w:multiLevelType w:val="singleLevel"/>
    <w:tmpl w:val="CC6E5AF5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1850E6E5"/>
    <w:multiLevelType w:val="singleLevel"/>
    <w:tmpl w:val="1850E6E5"/>
    <w:lvl w:ilvl="0" w:tentative="0">
      <w:start w:val="2"/>
      <w:numFmt w:val="decimal"/>
      <w:suff w:val="nothing"/>
      <w:lvlText w:val="%1、"/>
      <w:lvlJc w:val="left"/>
    </w:lvl>
  </w:abstractNum>
  <w:abstractNum w:abstractNumId="2">
    <w:nsid w:val="434514E5"/>
    <w:multiLevelType w:val="singleLevel"/>
    <w:tmpl w:val="434514E5"/>
    <w:lvl w:ilvl="0" w:tentative="0">
      <w:start w:val="3"/>
      <w:numFmt w:val="decimal"/>
      <w:suff w:val="nothing"/>
      <w:lvlText w:val="%1、"/>
      <w:lvlJc w:val="left"/>
    </w:lvl>
  </w:abstractNum>
  <w:abstractNum w:abstractNumId="3">
    <w:nsid w:val="5A976BB4"/>
    <w:multiLevelType w:val="singleLevel"/>
    <w:tmpl w:val="5A976BB4"/>
    <w:lvl w:ilvl="0" w:tentative="0">
      <w:start w:val="4"/>
      <w:numFmt w:val="chineseCounting"/>
      <w:suff w:val="nothing"/>
      <w:lvlText w:val="（%1）"/>
      <w:lvlJc w:val="left"/>
      <w:rPr>
        <w:rFonts w:hint="eastAsia" w:ascii="方正黑体_GBK" w:hAnsi="方正黑体_GBK" w:eastAsia="方正黑体_GBK" w:cs="方正黑体_GBK"/>
        <w:sz w:val="32"/>
        <w:szCs w:val="32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dit="readOnly" w:enforcement="1" w:cryptProviderType="rsaFull" w:cryptAlgorithmClass="hash" w:cryptAlgorithmType="typeAny" w:cryptAlgorithmSid="4" w:cryptSpinCount="0" w:hash="dqjMQc/uv1VY1gugGuRio0/3c2o=" w:salt="JgeT9wMQkHDPGYwI6i6/uw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73B95"/>
    <w:rsid w:val="00FE1054"/>
    <w:rsid w:val="01AF3776"/>
    <w:rsid w:val="02492381"/>
    <w:rsid w:val="02C35FA2"/>
    <w:rsid w:val="02C40E4D"/>
    <w:rsid w:val="03B35D1D"/>
    <w:rsid w:val="03C620D3"/>
    <w:rsid w:val="04102028"/>
    <w:rsid w:val="047220A2"/>
    <w:rsid w:val="05AF12B1"/>
    <w:rsid w:val="064929F6"/>
    <w:rsid w:val="06A0315F"/>
    <w:rsid w:val="06FB0C9C"/>
    <w:rsid w:val="06FB11B7"/>
    <w:rsid w:val="070B0369"/>
    <w:rsid w:val="071E642E"/>
    <w:rsid w:val="0916645A"/>
    <w:rsid w:val="092810C9"/>
    <w:rsid w:val="097566DB"/>
    <w:rsid w:val="0A3106E4"/>
    <w:rsid w:val="0AED49CE"/>
    <w:rsid w:val="0B806066"/>
    <w:rsid w:val="0C62262F"/>
    <w:rsid w:val="0D622765"/>
    <w:rsid w:val="0DFF63EA"/>
    <w:rsid w:val="0EBB6DD2"/>
    <w:rsid w:val="0F076F16"/>
    <w:rsid w:val="0F946DE4"/>
    <w:rsid w:val="0FA94F7C"/>
    <w:rsid w:val="10107379"/>
    <w:rsid w:val="104E63FC"/>
    <w:rsid w:val="105423F0"/>
    <w:rsid w:val="113C391E"/>
    <w:rsid w:val="118F0868"/>
    <w:rsid w:val="12224034"/>
    <w:rsid w:val="1238105A"/>
    <w:rsid w:val="12696AA7"/>
    <w:rsid w:val="133C14A4"/>
    <w:rsid w:val="13685F1B"/>
    <w:rsid w:val="13CD6BCA"/>
    <w:rsid w:val="14B37116"/>
    <w:rsid w:val="14CD1412"/>
    <w:rsid w:val="156F6BF2"/>
    <w:rsid w:val="16B26277"/>
    <w:rsid w:val="184A1A73"/>
    <w:rsid w:val="1A0D28CB"/>
    <w:rsid w:val="1A58323D"/>
    <w:rsid w:val="1A9E513E"/>
    <w:rsid w:val="1CCD66D1"/>
    <w:rsid w:val="1D1D4700"/>
    <w:rsid w:val="1D3D23A6"/>
    <w:rsid w:val="1D4F523F"/>
    <w:rsid w:val="1D597655"/>
    <w:rsid w:val="1D802210"/>
    <w:rsid w:val="1E0D0FEF"/>
    <w:rsid w:val="1E2028DA"/>
    <w:rsid w:val="1E3748D4"/>
    <w:rsid w:val="1E434AD4"/>
    <w:rsid w:val="1E96183F"/>
    <w:rsid w:val="1E994A2A"/>
    <w:rsid w:val="1F843516"/>
    <w:rsid w:val="1F8E4D19"/>
    <w:rsid w:val="208D2B5D"/>
    <w:rsid w:val="20AD6EBD"/>
    <w:rsid w:val="222023FE"/>
    <w:rsid w:val="22FC72F6"/>
    <w:rsid w:val="232C7B48"/>
    <w:rsid w:val="23AE1C94"/>
    <w:rsid w:val="24CD2FBD"/>
    <w:rsid w:val="2541116A"/>
    <w:rsid w:val="25B44EF8"/>
    <w:rsid w:val="25CD748D"/>
    <w:rsid w:val="25E20C41"/>
    <w:rsid w:val="267F16A0"/>
    <w:rsid w:val="26827E95"/>
    <w:rsid w:val="27545251"/>
    <w:rsid w:val="275C6899"/>
    <w:rsid w:val="27B06DB3"/>
    <w:rsid w:val="28204AC6"/>
    <w:rsid w:val="287D6A7A"/>
    <w:rsid w:val="2914544E"/>
    <w:rsid w:val="29827B12"/>
    <w:rsid w:val="2A5C3004"/>
    <w:rsid w:val="2AFB4851"/>
    <w:rsid w:val="2B7E6B1E"/>
    <w:rsid w:val="2BCD2E1E"/>
    <w:rsid w:val="2C28300C"/>
    <w:rsid w:val="2D50305C"/>
    <w:rsid w:val="2FD6486F"/>
    <w:rsid w:val="2FE73D5E"/>
    <w:rsid w:val="31963C23"/>
    <w:rsid w:val="327439E9"/>
    <w:rsid w:val="329651D0"/>
    <w:rsid w:val="33F251F0"/>
    <w:rsid w:val="34DC6076"/>
    <w:rsid w:val="354C1D69"/>
    <w:rsid w:val="358E66EE"/>
    <w:rsid w:val="35DD4D74"/>
    <w:rsid w:val="36157019"/>
    <w:rsid w:val="3751736C"/>
    <w:rsid w:val="3764119D"/>
    <w:rsid w:val="3814640C"/>
    <w:rsid w:val="38344FC7"/>
    <w:rsid w:val="388E7EAF"/>
    <w:rsid w:val="38EE715C"/>
    <w:rsid w:val="391A73A5"/>
    <w:rsid w:val="39372BF7"/>
    <w:rsid w:val="39AA0C16"/>
    <w:rsid w:val="3A344392"/>
    <w:rsid w:val="3A9F6978"/>
    <w:rsid w:val="3ACE61D6"/>
    <w:rsid w:val="3AEF1D45"/>
    <w:rsid w:val="3B4863D4"/>
    <w:rsid w:val="3C2A7F58"/>
    <w:rsid w:val="3C6E05FE"/>
    <w:rsid w:val="3CB6400D"/>
    <w:rsid w:val="3CBA5B10"/>
    <w:rsid w:val="3CFC797C"/>
    <w:rsid w:val="3D0367AA"/>
    <w:rsid w:val="3E051FDF"/>
    <w:rsid w:val="3E0F18B8"/>
    <w:rsid w:val="3EEF42F9"/>
    <w:rsid w:val="3FCF52AE"/>
    <w:rsid w:val="3FF37F24"/>
    <w:rsid w:val="3FF709F0"/>
    <w:rsid w:val="40660C87"/>
    <w:rsid w:val="41206FB8"/>
    <w:rsid w:val="418D6787"/>
    <w:rsid w:val="423B12FE"/>
    <w:rsid w:val="42437B94"/>
    <w:rsid w:val="4365598B"/>
    <w:rsid w:val="43832B27"/>
    <w:rsid w:val="43E734CE"/>
    <w:rsid w:val="4404123F"/>
    <w:rsid w:val="442600CF"/>
    <w:rsid w:val="44424E59"/>
    <w:rsid w:val="449F14B2"/>
    <w:rsid w:val="44A30CE2"/>
    <w:rsid w:val="44B86DCF"/>
    <w:rsid w:val="44D10A68"/>
    <w:rsid w:val="44F13884"/>
    <w:rsid w:val="45B835AB"/>
    <w:rsid w:val="45FD1FED"/>
    <w:rsid w:val="46946590"/>
    <w:rsid w:val="46FE21D1"/>
    <w:rsid w:val="47047BE8"/>
    <w:rsid w:val="473D22B7"/>
    <w:rsid w:val="47C17EA8"/>
    <w:rsid w:val="48261B30"/>
    <w:rsid w:val="48F7036E"/>
    <w:rsid w:val="49872F38"/>
    <w:rsid w:val="49D743DC"/>
    <w:rsid w:val="4A482670"/>
    <w:rsid w:val="4A816662"/>
    <w:rsid w:val="4AA46118"/>
    <w:rsid w:val="4B636774"/>
    <w:rsid w:val="4BBA2056"/>
    <w:rsid w:val="4BDA5417"/>
    <w:rsid w:val="4CA73858"/>
    <w:rsid w:val="4D073D16"/>
    <w:rsid w:val="4D804FD5"/>
    <w:rsid w:val="4D852BEA"/>
    <w:rsid w:val="4DA73F28"/>
    <w:rsid w:val="4F551033"/>
    <w:rsid w:val="5102090A"/>
    <w:rsid w:val="51C102C7"/>
    <w:rsid w:val="5232008A"/>
    <w:rsid w:val="529703A1"/>
    <w:rsid w:val="52B01A2D"/>
    <w:rsid w:val="52F200BD"/>
    <w:rsid w:val="53016371"/>
    <w:rsid w:val="5337755C"/>
    <w:rsid w:val="53773AC1"/>
    <w:rsid w:val="53DC25DD"/>
    <w:rsid w:val="55006388"/>
    <w:rsid w:val="550145B7"/>
    <w:rsid w:val="55EB22C2"/>
    <w:rsid w:val="561D6859"/>
    <w:rsid w:val="56D3524F"/>
    <w:rsid w:val="58265FAC"/>
    <w:rsid w:val="582F4FF1"/>
    <w:rsid w:val="5876679A"/>
    <w:rsid w:val="58A91400"/>
    <w:rsid w:val="591B7E9B"/>
    <w:rsid w:val="596F7C8D"/>
    <w:rsid w:val="59DD4737"/>
    <w:rsid w:val="5A1B2FB2"/>
    <w:rsid w:val="5AEF5760"/>
    <w:rsid w:val="5B677D3E"/>
    <w:rsid w:val="5BCE2C35"/>
    <w:rsid w:val="5BD94B40"/>
    <w:rsid w:val="5BDF68F7"/>
    <w:rsid w:val="5C9D4A3A"/>
    <w:rsid w:val="5CA51C96"/>
    <w:rsid w:val="5D7454ED"/>
    <w:rsid w:val="5DDF7DCF"/>
    <w:rsid w:val="5E2C595E"/>
    <w:rsid w:val="5E4B75E2"/>
    <w:rsid w:val="5EAA2751"/>
    <w:rsid w:val="5EB46482"/>
    <w:rsid w:val="5EE07B59"/>
    <w:rsid w:val="5F276626"/>
    <w:rsid w:val="5F5A3A7A"/>
    <w:rsid w:val="5F986DD3"/>
    <w:rsid w:val="5F9B58B2"/>
    <w:rsid w:val="5FEE4B73"/>
    <w:rsid w:val="60846C97"/>
    <w:rsid w:val="6093671C"/>
    <w:rsid w:val="615D61D9"/>
    <w:rsid w:val="618A3C03"/>
    <w:rsid w:val="61981A65"/>
    <w:rsid w:val="6281187A"/>
    <w:rsid w:val="6305694B"/>
    <w:rsid w:val="631F19E9"/>
    <w:rsid w:val="633E273D"/>
    <w:rsid w:val="63846F24"/>
    <w:rsid w:val="639A6662"/>
    <w:rsid w:val="64D03765"/>
    <w:rsid w:val="654A7A1F"/>
    <w:rsid w:val="65AD54E4"/>
    <w:rsid w:val="6723610B"/>
    <w:rsid w:val="6B0F3B67"/>
    <w:rsid w:val="6C216D44"/>
    <w:rsid w:val="6C2A6D4C"/>
    <w:rsid w:val="6C82151A"/>
    <w:rsid w:val="6CF567FD"/>
    <w:rsid w:val="6DD64C67"/>
    <w:rsid w:val="6E513044"/>
    <w:rsid w:val="6E8759BA"/>
    <w:rsid w:val="6FC0589F"/>
    <w:rsid w:val="7123763A"/>
    <w:rsid w:val="71D0480D"/>
    <w:rsid w:val="71F66789"/>
    <w:rsid w:val="72277ABB"/>
    <w:rsid w:val="73552380"/>
    <w:rsid w:val="743E180D"/>
    <w:rsid w:val="74FD3A74"/>
    <w:rsid w:val="75A83CB4"/>
    <w:rsid w:val="75C31A4F"/>
    <w:rsid w:val="76065A78"/>
    <w:rsid w:val="76A6384C"/>
    <w:rsid w:val="76D7087A"/>
    <w:rsid w:val="76F960A9"/>
    <w:rsid w:val="777A4EEF"/>
    <w:rsid w:val="777F3809"/>
    <w:rsid w:val="778E6422"/>
    <w:rsid w:val="78B4513C"/>
    <w:rsid w:val="78E92DD7"/>
    <w:rsid w:val="7908671E"/>
    <w:rsid w:val="79140B98"/>
    <w:rsid w:val="7A2B5B7E"/>
    <w:rsid w:val="7A670C69"/>
    <w:rsid w:val="7BC04469"/>
    <w:rsid w:val="7BC830BE"/>
    <w:rsid w:val="7C02261A"/>
    <w:rsid w:val="7C773E10"/>
    <w:rsid w:val="7C843EF1"/>
    <w:rsid w:val="7D4E5A3C"/>
    <w:rsid w:val="7D9537CD"/>
    <w:rsid w:val="7DC42FD8"/>
    <w:rsid w:val="7EEC64CD"/>
    <w:rsid w:val="7F015A7B"/>
    <w:rsid w:val="7F1F502D"/>
    <w:rsid w:val="7F2D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楷体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仿宋正文"/>
    <w:basedOn w:val="1"/>
    <w:qFormat/>
    <w:uiPriority w:val="0"/>
    <w:pPr>
      <w:spacing w:line="600" w:lineRule="exact"/>
      <w:ind w:firstLine="420" w:firstLineChars="200"/>
    </w:pPr>
    <w:rPr>
      <w:rFonts w:eastAsia="方正仿宋简体"/>
      <w:kern w:val="0"/>
      <w:szCs w:val="32"/>
    </w:rPr>
  </w:style>
  <w:style w:type="paragraph" w:styleId="3">
    <w:name w:val="Plain Text"/>
    <w:basedOn w:val="1"/>
    <w:qFormat/>
    <w:uiPriority w:val="0"/>
    <w:rPr>
      <w:rFonts w:ascii="宋体" w:hAnsi="Courier New" w:eastAsia="宋体" w:cs="Courier New"/>
      <w:sz w:val="21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color w:val="000000"/>
      <w:kern w:val="0"/>
      <w:sz w:val="24"/>
    </w:rPr>
  </w:style>
  <w:style w:type="character" w:styleId="9">
    <w:name w:val="Strong"/>
    <w:basedOn w:val="8"/>
    <w:qFormat/>
    <w:uiPriority w:val="0"/>
    <w:rPr>
      <w:rFonts w:hint="default" w:ascii="Times New Roman" w:hAnsi="Times New Roman" w:eastAsia="宋体" w:cs="Times New Roman"/>
      <w:sz w:val="24"/>
    </w:rPr>
  </w:style>
  <w:style w:type="character" w:styleId="10">
    <w:name w:val="page number"/>
    <w:qFormat/>
    <w:uiPriority w:val="99"/>
    <w:rPr>
      <w:rFonts w:cs="Times New Roman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customStyle="1" w:styleId="12">
    <w:name w:val="_Style 2"/>
    <w:basedOn w:val="1"/>
    <w:qFormat/>
    <w:uiPriority w:val="0"/>
    <w:pPr>
      <w:spacing w:line="351" w:lineRule="atLeast"/>
      <w:ind w:firstLine="623"/>
      <w:textAlignment w:val="baseline"/>
    </w:pPr>
    <w:rPr>
      <w:rFonts w:ascii="Times New Roman" w:hAnsi="Times New Roman" w:eastAsia="仿宋_GB2312"/>
      <w:color w:val="000000"/>
      <w:sz w:val="31"/>
      <w:szCs w:val="20"/>
      <w:u w:val="none" w:color="000000"/>
    </w:rPr>
  </w:style>
  <w:style w:type="paragraph" w:customStyle="1" w:styleId="13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小梨涡er</cp:lastModifiedBy>
  <cp:lastPrinted>2021-04-16T01:22:00Z</cp:lastPrinted>
  <dcterms:modified xsi:type="dcterms:W3CDTF">2021-09-06T09:33:12Z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278289074_cloud</vt:lpwstr>
  </property>
</Properties>
</file>