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permStart w:id="0" w:edGrp="everyone"/>
      <w:permEnd w:id="0"/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jc w:val="center"/>
        <w:rPr>
          <w:rFonts w:hint="eastAsia" w:ascii="方正小标宋简体" w:hAnsi="华文中宋" w:eastAsia="方正小标宋简体"/>
          <w:sz w:val="84"/>
          <w:szCs w:val="84"/>
        </w:rPr>
      </w:pPr>
      <w:r>
        <w:rPr>
          <w:rFonts w:hint="eastAsia" w:ascii="方正小标宋简体" w:hAnsi="华文中宋" w:eastAsia="方正小标宋简体"/>
          <w:sz w:val="84"/>
          <w:szCs w:val="84"/>
        </w:rPr>
        <w:t>宿州</w:t>
      </w:r>
      <w:r>
        <w:rPr>
          <w:rFonts w:hint="eastAsia" w:ascii="方正小标宋简体" w:hAnsi="华文中宋" w:eastAsia="方正小标宋简体"/>
          <w:sz w:val="84"/>
          <w:szCs w:val="84"/>
          <w:lang w:val="en-US" w:eastAsia="zh-CN"/>
        </w:rPr>
        <w:t>市</w:t>
      </w:r>
      <w:r>
        <w:rPr>
          <w:rFonts w:hint="eastAsia" w:ascii="方正小标宋简体" w:hAnsi="华文中宋" w:eastAsia="方正小标宋简体"/>
          <w:sz w:val="84"/>
          <w:szCs w:val="84"/>
        </w:rPr>
        <w:t>质量状况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84"/>
          <w:szCs w:val="84"/>
        </w:rPr>
        <w:t>白皮书</w:t>
      </w:r>
    </w:p>
    <w:p>
      <w:pPr>
        <w:pStyle w:val="3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pStyle w:val="3"/>
        <w:jc w:val="center"/>
        <w:rPr>
          <w:rFonts w:hint="eastAsia" w:hAnsi="宋体" w:cs="宋体"/>
          <w:b/>
          <w:sz w:val="48"/>
          <w:szCs w:val="48"/>
        </w:rPr>
      </w:pPr>
      <w:r>
        <w:rPr>
          <w:rFonts w:hint="eastAsia" w:hAnsi="宋体" w:cs="宋体"/>
          <w:b/>
          <w:sz w:val="48"/>
          <w:szCs w:val="48"/>
        </w:rPr>
        <w:t>(20</w:t>
      </w:r>
      <w:r>
        <w:rPr>
          <w:rFonts w:hint="eastAsia" w:hAnsi="宋体" w:cs="宋体"/>
          <w:b/>
          <w:sz w:val="48"/>
          <w:szCs w:val="48"/>
          <w:lang w:val="en-US" w:eastAsia="zh-CN"/>
        </w:rPr>
        <w:t>20</w:t>
      </w:r>
      <w:r>
        <w:rPr>
          <w:rFonts w:hint="eastAsia" w:hAnsi="宋体" w:cs="宋体"/>
          <w:b/>
          <w:sz w:val="48"/>
          <w:szCs w:val="48"/>
        </w:rPr>
        <w:t>年)</w:t>
      </w:r>
    </w:p>
    <w:p>
      <w:pPr>
        <w:pStyle w:val="3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spacing w:line="500" w:lineRule="exact"/>
        <w:jc w:val="center"/>
        <w:rPr>
          <w:rFonts w:ascii="Times New Roman" w:hAnsi="Times New Roman" w:eastAsia="华文楷体"/>
          <w:sz w:val="32"/>
          <w:szCs w:val="32"/>
        </w:rPr>
      </w:pPr>
    </w:p>
    <w:p>
      <w:pPr>
        <w:pStyle w:val="3"/>
        <w:spacing w:line="500" w:lineRule="exact"/>
        <w:jc w:val="center"/>
        <w:rPr>
          <w:rFonts w:ascii="仿宋_GB2312" w:hAnsi="Times New Roman" w:eastAsia="仿宋_GB2312"/>
          <w:sz w:val="44"/>
          <w:szCs w:val="44"/>
        </w:rPr>
      </w:pPr>
    </w:p>
    <w:p>
      <w:pPr>
        <w:pStyle w:val="3"/>
        <w:spacing w:line="500" w:lineRule="exact"/>
        <w:rPr>
          <w:rFonts w:ascii="仿宋_GB2312" w:hAnsi="Times New Roman" w:eastAsia="黑体"/>
          <w:sz w:val="44"/>
          <w:szCs w:val="44"/>
        </w:rPr>
      </w:pPr>
    </w:p>
    <w:p>
      <w:pPr>
        <w:pStyle w:val="3"/>
        <w:spacing w:line="500" w:lineRule="exact"/>
        <w:jc w:val="center"/>
        <w:rPr>
          <w:rFonts w:ascii="仿宋_GB2312" w:hAnsi="Times New Roman" w:eastAsia="黑体"/>
          <w:sz w:val="44"/>
          <w:szCs w:val="44"/>
        </w:rPr>
      </w:pPr>
    </w:p>
    <w:p>
      <w:pPr>
        <w:pStyle w:val="3"/>
        <w:spacing w:line="5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3"/>
        <w:spacing w:line="800" w:lineRule="exact"/>
        <w:jc w:val="center"/>
        <w:rPr>
          <w:rFonts w:hint="eastAsia" w:ascii="楷体" w:hAnsi="楷体" w:eastAsia="楷体" w:cs="楷体"/>
          <w:bCs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宿州市质量</w:t>
      </w:r>
      <w:r>
        <w:rPr>
          <w:rFonts w:hint="eastAsia" w:ascii="楷体" w:hAnsi="楷体" w:eastAsia="楷体" w:cs="楷体"/>
          <w:bCs/>
          <w:sz w:val="36"/>
          <w:szCs w:val="36"/>
          <w:lang w:eastAsia="zh-CN"/>
        </w:rPr>
        <w:t>发展委员会</w:t>
      </w:r>
      <w:r>
        <w:rPr>
          <w:rFonts w:hint="eastAsia" w:ascii="楷体" w:hAnsi="楷体" w:eastAsia="楷体" w:cs="楷体"/>
          <w:bCs/>
          <w:sz w:val="36"/>
          <w:szCs w:val="36"/>
        </w:rPr>
        <w:t>办公室</w:t>
      </w:r>
    </w:p>
    <w:p>
      <w:pPr>
        <w:pStyle w:val="3"/>
        <w:spacing w:line="8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二〇</w:t>
      </w:r>
      <w:r>
        <w:rPr>
          <w:rFonts w:hint="eastAsia" w:ascii="楷体" w:hAnsi="楷体" w:eastAsia="楷体" w:cs="楷体"/>
          <w:bCs/>
          <w:sz w:val="36"/>
          <w:szCs w:val="36"/>
          <w:lang w:eastAsia="zh-CN"/>
        </w:rPr>
        <w:t>二</w:t>
      </w:r>
      <w:r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Cs/>
          <w:sz w:val="36"/>
          <w:szCs w:val="36"/>
        </w:rPr>
        <w:t>年</w:t>
      </w:r>
      <w:r>
        <w:rPr>
          <w:rFonts w:hint="eastAsia" w:ascii="楷体" w:hAnsi="楷体" w:eastAsia="楷体" w:cs="楷体"/>
          <w:bCs/>
          <w:sz w:val="36"/>
          <w:szCs w:val="36"/>
          <w:lang w:val="en-US" w:eastAsia="zh-CN"/>
        </w:rPr>
        <w:t>四</w:t>
      </w:r>
      <w:r>
        <w:rPr>
          <w:rFonts w:hint="eastAsia" w:ascii="楷体" w:hAnsi="楷体" w:eastAsia="楷体" w:cs="楷体"/>
          <w:bCs/>
          <w:sz w:val="36"/>
          <w:szCs w:val="36"/>
        </w:rPr>
        <w:t>月</w:t>
      </w:r>
    </w:p>
    <w:p/>
    <w:p/>
    <w:p/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600" w:lineRule="exact"/>
        <w:jc w:val="both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600" w:lineRule="exact"/>
        <w:jc w:val="center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前   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00" w:firstLineChars="200"/>
        <w:rPr>
          <w:rFonts w:hint="eastAsia" w:ascii="宋体" w:hAnsi="宋体" w:eastAsia="宋体" w:cs="宋体"/>
          <w:color w:val="000000" w:themeColor="text1"/>
          <w:spacing w:val="15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年，在市委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政府坚强领导下，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全市上下以习近平新时代中国特色社会主义思想为指导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认真贯彻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市委、市政府工作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决策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部署，坚持稳中求进工作总基调，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始终把质量工作摆在重要位置，坚决贯彻落实《安徽省质量发展纲要（2013—2020年）》，以创建全国质量强市示范城市和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开展质量提升行动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为抓手，加快推进质量宿州建设。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为全面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把握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年质量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总体状况，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客观反映我市产品、工程、服务、环境等方面质量状况，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质量工作取得的成果，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查找问题及不足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，为市委、市政府研究制定质量工作方针政策提供决策依据，科学指导今后一段时期全市质量管理工作，不断提高全市质量总体水平，特编制、发布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宿州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年质量状况白皮书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为相关职能部门、企业和广大质量工作者提供参考。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本白皮书由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市质量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发展委员会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办公室组织编写，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市质量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发展委员会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成员单位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提供了资料数据，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在此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感谢相关部门和人员在本书编写过程中给予的大力支持。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由于时间仓促，书中质量数据不尽完善，不当之处恳请各方予以批评指正，以便持续改进。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247" w:right="1361" w:bottom="1247" w:left="136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 录</w:t>
      </w:r>
    </w:p>
    <w:p>
      <w:pPr>
        <w:pStyle w:val="3"/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全市经济发展情况…………………………………………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313" w:firstLineChars="98"/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全市质量状况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产品质量状况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2.工程质量状况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rPr>
          <w:rFonts w:hint="default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3.服务质量状况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rPr>
          <w:rFonts w:hint="default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4.环境质量状况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rPr>
          <w:rFonts w:hint="default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5.品牌战略实施状况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323" w:leftChars="100" w:hanging="3" w:hangingChars="1"/>
        <w:rPr>
          <w:rFonts w:hint="default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三、存在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主要问题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pStyle w:val="3"/>
        <w:keepNext w:val="0"/>
        <w:keepLines w:val="0"/>
        <w:pageBreakBefore w:val="0"/>
        <w:tabs>
          <w:tab w:val="right" w:leader="middleDot" w:pos="903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323" w:leftChars="100" w:hanging="3" w:hangingChars="1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247" w:right="1361" w:bottom="1247" w:left="1361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四、建议与对策 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="新宋体" w:hAnsi="新宋体" w:eastAsia="新宋体" w:cs="新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全市经济发展情况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2020年，面对新冠肺炎疫情的巨大冲击和国内外复杂严峻的环境，全市上下科学统筹疫情防控和经济社会发展，认真落实“六保”任务，全面做好“六稳”工作，全市经济呈现持续恢复向好态势，“十三五”规划圆满收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根据地区生产总值统一核算结果，全年全市生产总值2045.0亿元，比上年增长3.9%。其中，第一产业增加值310.4亿元，增长3.0%；第二产业增加值719.6亿元，增长5.1%；第三产业增加值1015.0 亿元，增长3.0%。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粮食产量再创新高，畜牧业较快恢复。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全年全市农林牧渔业总产值607亿元，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长3.9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，粮食播种面积1407.3万亩，粮食产量达89.9亿斤，位居全省第四，比去年增加1.2亿斤，增长1.4％，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幅居全省第一，实现了“十七连丰”，粮食产量连续6年稳定在80亿斤以上。蔬菜及瓜果产量分别增长4.9％和4.5％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畜牧业生产较快恢复，肉类产量由降转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。四季度末，生猪存栏223.2万头，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长69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。全年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牛羊禽肉产量50.71万吨，由前三季度下降2.6％转为增长1.2％，增幅高于全省2.6个百分点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エ业生产增速加快，高新技术产业较快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长。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全年全市规上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业增加值增长5.3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，比前三季度加快2.1个百分点，居全省第9位。从三大门类看，采矿业、制造业分别增长79.4％、5.0％，电力、热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、燃气及水生产和供应业下降0.5％。从新兴产业看，高新技术产业工业增加值同比增长21.5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高于全省5.1个百分点，居全省第6位；战略性新兴产业产值同比增长14.6％，居全省第12位。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服务业持续复苏，其他营利性服务业营业收入由负转正。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全年服务业增加值增长3.0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，比上半年高2.1个百分点，比全省高0.2个百分点。1-11月，规模以上服务业企业营业收入同比增长4.0％，其中信息传输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软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件和信息技术服务业、科学研究和技术服务业分增长21.5％和9.3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，租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赁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和商务服务业下降9.6％。其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营利性服务业企业营业收入由上半年下降3.3％转为增长13.0％。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固定资产投资稳步回升，房地产开发投资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长较快。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全年全市固定资产投资增长5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9％，比前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季度高0.7个百分点，比全省高0.8个百分点，居全省第9位。其中，技改投资下降8.3％，居全省第13位;房地产开发投资增长29.7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，居全省第1位；民间投资增长0.3％，居全省第10位。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五）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消费品市场逐步回暖，公共网络销售增长较快。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全年全市社会消费品零售总额1082.6亿元，增长3.3％，增幅高出全省0.7个百分点，居全省第3位。分城乡看，城镇零售额854.2亿元，增长2.7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乡村零售额228.3亿元，增长5.8％。限额以上批发零售业中，粮油、食品类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长24.9％；日用品类增长29.0％；服装、鞋帽、针纺织品类下降3.3％；化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妆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品类下降18.8％；通过公共网络实现的商品销售增长31.6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六）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收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支继续回升，</w:t>
      </w: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融运行保持稳定。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全年全市财政收入208.5亿元，增长3.6％。其中，税收收入161.0亿元，增长8.9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，占全部财政收入比重为77.2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。全市财政支出486.0亿元，增长8.0％。其中，民生支出416.3亿元，增长7.6％，占全部财政支出比重为85.7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。12月末，全市金融机构各项存款余额2720.1亿元，增长8.8％，居全省第12位。其中，住户存款余额1821.1亿元，增长14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。金融机构各项贷款余额2332.0亿元，增长23.0％，居全省第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位。金融机构存贷比由6月末的79.0％提高到85.7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（七）居民收入较快增长，物价涨幅回落。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全年全市城乡居民人均可支配收入22105元，增长7.3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居全省第3位。其中，城镇常住居民人均可支配收入34373元，增长5.3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，居全省12位；农村常住居民人均可支配收入14369元，增长8.8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，居全省第3位。全年全市居民消费价格指数102.3％，上涨2.3％，比前三季度回落0.8个百分点，比全省低0.4个百分点。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二、全市质量状况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（一）产品质量状况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商品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质量状况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产品质量监督抽检产（商）品总计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949批次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其中生产领域抽检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541批次，不合格21批次，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合格率9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网络交易商品抽检20批次，合格率100%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；流通领域抽检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388批次，不合格86批次，合格率77.84%。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（1）生产领域：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抽检人造板27家企业28组产品，合格率为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0 %；抽检危险化学品1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家企业15组产品，合格15组，合格率100%；抽检电线电缆5家企业4组产品，合格4组，合格率为100%；抽检食品相关产品30家31组，合格31组，合格率为100%；抽检服装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8家企业，30组产品，合格29组，合格率96.70 %；抽检化肥14家企业27组产品，合格27组，合格率100%；抽检水泥10家企业21组产品，合格21组，合格率为100%；抽检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烧结多孔砖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29家企业39组产品，合格29组，合格率74.36%；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抽检预拌混凝土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家企业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组产品，合格5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组，合格率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91.53%；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抽检配制眼镜17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组产品，合格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组，合格率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98.26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2）流通领域：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抽检建筑用钢筋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组产品，合格率100%；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组产品，合格44组，合格率91.67%；复混肥料44组，合格42组，合格率95.50%；食品相关产品100组，合格87组，合格率87%；电线电缆28组，合格21组，合格率75%；生活用品（卫生纸）10组，合格8组，合格率80%；学生用品31组，合格29组，合格率93.55%；儿童用品10组，合格率100%；塑料购物袋30组，合格29组，合格率96.67%；电动车充电器10组，合格率100%；建筑用安全玻璃4组，合格率100%；输水管10组，合格9组，合格率90%；烟花爆竹15组，合格10组，合格率66.67%；消防产品5组，合格率100%；特种劳动保护产品15组，合格率100%；液化气15组，合格率100%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车用尿素40组，不合格8组，合格率为80％；商品煤9组，合格率为100%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配制眼镜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组产品，合格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组，合格率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69.16%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抽检柴油65组，不合格4组，合格率为93.85%；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汽油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89组，合格78组，87.64%。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（3）网络交易商品抽检电水壶3组，合格率100%；电锅类4组，合格率100%；服装类10组，合格率100%；风扇3组，合格率100%。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2、食品药品质量状况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全市共有食品生产加工企业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家，小作坊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家，主要产品为粮食加工品、肉制品、饮料、罐头、酒类、糕点等。食品添加剂生产企业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年，我市完成省级食品安全抽检任务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1043批次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，不合格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，合格率为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97.13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3758批次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，不合格产品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，合格率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食品监督抽检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2458批次，不合格70批次，合格率97.15%；市级食用农产品（流通领域）抽检1300批次，不合格55批次，合格率95.77%。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县（区）级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食品安全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10623批次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，不合格产品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104批次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，合格率9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9.02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％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县（区）级食用药品抽检5729批次，不合格158批次，合格率97.24%。市级药品（含中药材）抽检90批次，中药材不合格7批次，合格率92.22%。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农产品质量状况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2020年度，完成省级例行（风险监测）蔬菜样品182批次、畜禽样品60批次、水产品样品 36批次，合格率100%。制定市级农产品质量安全监测计划，市级开展了例行监测（风险监测）、专项监测、监督抽检和飞行抽检，抽检蔬菜、水果、畜产品样品417</w:t>
      </w:r>
      <w:r>
        <w:rPr>
          <w:rFonts w:hint="eastAsia" w:ascii="方正仿宋_GBK" w:hAnsi="方正仿宋_GBK" w:eastAsia="方正仿宋_GBK" w:cs="方正仿宋_GBK"/>
          <w:szCs w:val="32"/>
          <w:lang w:val="zh-CN"/>
        </w:rPr>
        <w:t>批次，合格率保持在</w:t>
      </w:r>
      <w:r>
        <w:rPr>
          <w:rFonts w:hint="eastAsia" w:ascii="方正仿宋_GBK" w:hAnsi="方正仿宋_GBK" w:eastAsia="方正仿宋_GBK" w:cs="方正仿宋_GBK"/>
          <w:szCs w:val="32"/>
        </w:rPr>
        <w:t>9</w:t>
      </w:r>
      <w:r>
        <w:rPr>
          <w:rFonts w:ascii="方正仿宋_GBK" w:hAnsi="方正仿宋_GBK" w:eastAsia="方正仿宋_GBK" w:cs="方正仿宋_GBK"/>
          <w:szCs w:val="32"/>
        </w:rPr>
        <w:t>8</w:t>
      </w:r>
      <w:r>
        <w:rPr>
          <w:rFonts w:hint="eastAsia" w:ascii="方正仿宋_GBK" w:hAnsi="方正仿宋_GBK" w:eastAsia="方正仿宋_GBK" w:cs="方正仿宋_GBK"/>
          <w:szCs w:val="32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以上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全市定量检测各类食用农产品6026批次，全市人口569.52万人，农产品质量安全定量检测样本量达1.058批次/千人。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color w:val="C00000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已建成市级农产品质量检测中心1个，县级农产品质量检测站5个，建立乡镇农产品质量安全监测站90个（298套乡镇快检系统），累计上传快速检测数据40多万批次，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zh-CN"/>
        </w:rPr>
        <w:t>合格率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99.9%以上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color w:val="C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全市已创建国家级果树标准园18个，省级20个，市级41个；国家级蔬菜标准园14个，省级42个，市级57个；省部级畜禽标准化养殖场52个，市级103个；农业农村部水产健康养殖示范场7个。</w:t>
      </w:r>
      <w:r>
        <w:rPr>
          <w:rFonts w:hint="eastAsia" w:ascii="方正仿宋_GBK" w:hAnsi="方正仿宋_GBK" w:eastAsia="方正仿宋_GBK" w:cs="方正仿宋_GBK"/>
          <w:szCs w:val="32"/>
        </w:rPr>
        <w:t>全市115家农业企业及合作社134个产品获得无公害农产品认证，126家企业152个产品获得绿色食品认证，7家企业18个产品获得有机食品认证，2家企业4个产品获得地理标志认证。四县一区全部获得安徽省农产品质量安全县称号，砀山县获得国家级农产品质量安全县称号，农产品质量安全县创建实现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（二）工程质量状况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1、建设工程质量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20全市建设工程质量稳中有升，未发生严重质量事故。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建立从设计、施工、监理到竣工验收备案等环节的监管机制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，组织检测人员，制定检测方案，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排查全市在建工程，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年监督建设工程面积约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万平方米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。全面检测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龄期在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60天以上的柱（剪力墙）和梁等结构构件的混凝土强度，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市区（含园区）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共检测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项，各县、区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检测262项，委托有资质的检测机构进行复测，处理少数混凝土强度不达标单体工程个别构件，确保建设工程结构质量安全。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通过“双随机、一公开”的形式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按季开展在建工程质量巡查，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共检查在建工程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项，签发整改通知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份，消除建设工程质量隐患，确保建设工程质量安全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度计划装配式建筑占全年新建建筑的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（含钢结构工业建筑）。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实际全市装配式建筑竣工面积165.89万平米，占新建建筑面积的17.1%。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工程建筑节能设计、施工图节能审查率施工现场建筑节能实施均达到了100%。其中居住建筑全部按照50%节能目标设计建造，公共建筑按照65%节能目标设计建造。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埇桥区道东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16#地块棚改项目被评为安徽省“装配式建筑示范项目”。20多项工程获得市级质量标准化示范工程，30多项工程获得市优“金鸡杯”奖，8项工程获得省优“黄山杯”奖。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交通工程质量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年，我市交通工程质量保障体系不断完善，工程质量、安全监督管理力度不断加大，工程实体质量稳中有升。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国省干线一级公路建设项目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8个，总建设规模约138公里，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监督一级公路建设项目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个，共计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47.044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一级公路建设项目督查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次（其中综合督查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次，专项督查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次），监督指导全市农村公路巡查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无安全生产事故，工程项目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监督覆盖率达到100%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“坚守公路水运工程质量安全红线”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专项行动，制定下发《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宿州市交通运输局关于印发“坚守公路水运工程质量安全红线”专项行动方案的通知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宿交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“质量安全红线”问题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新改建公交站点178个，新开通公交线路3条，我市共有营运线路40条，线路总长度693.8公里，市内公交线网实现了主城区全覆盖。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泗县获批为省级“四好农村路”示范县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G310黄口至河南界改造工程砀山段及S239萧淮路改建工程2个一级公路项目荣获安徽省交通优质工程奖；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S404宿城至皖苏界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一级公路改建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工程列入我省首批普通国省干线公路品质工程创建示范项目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并且荣获市优“金鸡杯”奖，正在逐级申报省部级奖项。宿州市公交公司荣获“全国交通运输系统先进集体”称号。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水利工程质量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2020年，市水利局通过水利工程质量提升等活动，以保证结构安全、完善主要使用功能，推动水利工程质量全面提升，确保国家重点建设的水利工程的耐久性、安全性普遍增强，水利工程质量通病治理取得显著成效。竣工交付使用的水利工程100％达到国家规范标准，大中型水利工程一次验收合格率达到100％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安徽省新汴河治理工程通过竣工验收，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全年水利工程建设未发生一般及以上质量事故，单位工程质量合格率达到100％。全市在建项目共6个项目，其中县级监督项目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4个：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砀山县林屯水库工程、萧县闸河治理工程、泗县唐河治理工程（二期）、埇桥区运粮河治理二期工程；市级监督项目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2个：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安徽省怀洪新河水系洼地治理工程、安徽省新汴河灌区续建配套与节水改造项目。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安徽省淮水北调工程娄宋站工程荣获2020年度安徽省水利工程“禹王杯”奖，市水利局连续在全省水利质量考核中被评为A级。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信用信息管理和应用，配合健全省水利信用体系建设。实行质量与安全监督分级管控，加强机构建设和人员配备，四县一区均成立质量监督机构，负责辖区内水利工程的质量监督工作。市县在建基建项目质量监督率达100％，严格按照法律法规加强水利工程质量监管，实现在建工程质量安全监督检查全覆盖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82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82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服务质量状况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1、文化旅游服务质量状况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，我市旅游行业监管措施实施有力，文化旅游服务质量不断提升，旅游市场秩序平稳规范，文明旅游和志愿服务活动开展扎实，旅游投诉机制健全，旅游市场黑名单管理制度规范，无安全生产事故，无重大服务质量事件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结合创建全国文明城市工作要求，扎实开展文明旅游和志愿服务活动。在重要节假日，依托文明旅游志愿服务队和学雷锋志愿服务站等，开展文明旅游宣传和旅游志愿服务“六进”：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进A级景区、进旅行社、进星级饭店、进广场、进社区、进校园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活动。2020年度，共开展各类志愿服务活动20多次，发放宣传材料约45000份，接受服务咨询约1000人次。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在“中国旅游志愿者”网站注册并加入“宿州市旅游志愿者总队”的志愿者已突破400人。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全国旅游服务监管平台和安徽省事中事后监管服务平台，归集文旅企业信息512家，全面归集导游员信息276人，旅行社设立许可1件、旅游投诉受理5件、旅行社备案登记57件，2020年组织旅行社经营单位做出信用承诺并公示49家，并已上传到“信用宿州”平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“宿州市导游大赛”，评选“宿州市金牌导游员”12人；获评安徽省金牌导游3人。积极参与安徽文旅系列品牌推选活动，2020年获评安徽省百家乡村旅游（扶贫）示范村5家、百佳农家乐4家、百家精品民宿2家；安徽省十家最美公共图书馆1家（宿州市泗县图书馆）；安徽省十家最美博物馆1家（宿州市博物馆）；获评安徽省百佳旅行社3家（宿州市教育旅行社、宿州交通旅行社、宿州市华夏旅行社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乡村旅游品牌的示范带动作用，组织推荐砀山县良梨镇良梨村、良梨镇马庄村、萧县官桥镇高庄村、埇桥区夹沟镇镇头村、埇桥区永镇乡关湖村、灵璧县虞姬乡虞姬村、泗县大庄镇曙光村等7处获评首批安徽省特色旅游名村；砀山县梨树王庄园、魏寨听荷书屋、泗县慧佳农业生态园、萧县饮马泉山庄、埇桥区市外桃源农家乐、隐·宿度假酒店等6处获评首批安徽省省级休闲旅游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通过省级标准化服务业试点单位验收；现有宿州市博物馆、砀山梨树王景区、灵璧现代农业博览园等4A级旅游景区6处，萧县皇藏峪景区和宿州新汴河景区已启动5A级旅游景区创建工作，萧县蔡洼淮海战役红色旅游景区通过创4A省级景观价值评审，灵璧钟馗文化园创4A持续推进；据第三方旅游服务质量满意度课题调查，游客满意度稳定在98%以上，旅游市场秩序持续平稳向好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40" w:firstLineChars="200"/>
        <w:jc w:val="both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2、医疗卫生服务质量状况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医疗质量管理与控制体系建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成立48个市级专业质控中心，范围涵盖各临床、医技科室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实现核心专业全覆盖。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各县区成立相应专业的县级质控中心共计10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个，基本形成了横向到边、纵向到底的质控网络工作格局。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部门联动，加强质控督查，2020年，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共计开展医疗质量检查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参与检查专家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120余人，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检查医疗机构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加大培训力度，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开展会议及培训45次、共培训5000余人，开展多种形式的竞赛活动11次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提高各专业医疗质量和医疗服务水平，促进各级医疗机构规范化诊疗。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加强医疗技术临床应用管理，对市发证医疗机构开展的限制类医疗技术进行备案，并依托质控中心进行监管。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市医疗装备质控中心团队在第十届中国好医工团队评选中获得“中国优秀临床工程团队 最具医工精神展现团队”称号。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环境质量状况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2020年，宿州市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坚持以十九大精神和习近平</w:t>
      </w:r>
      <w:r>
        <w:rPr>
          <w:rStyle w:val="9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生态文明思想为指导，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深入开展三大污染防治攻坚战，大力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实施大气污染防治行动计划、水污染防治行动计划、土壤污染防治行动计划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改善生态环境质量、加强生态文明制度建设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全市生态环境质量持续改善向好，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大气、水、土壤污染防治三大战役取得阶段性成效，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2020年，我市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大气环境质量改善幅度跃居全国第一，水环境质量和大气环境质量目标考核首次实现双达标。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环保督察整改扎实有效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基本形成党政同责，环保监管，部门联动，长效督查，媒体监督，群众参与的突出环境问题整改工作机制。集中开展散乱污整治行动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启动“散乱污”企业“清零”专项行动，推动未完成整治企业加快整治进度。部门协同，常态化推进“绿盾行动”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扎实推进自然保护区监督检查专项治理。通过国家级自然保护地遥感监测卫星对全市3个国家级自然保护地、6个省级自然保护区、6个省级自然保护地进行全面核查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针对湖泊、河道、各类自然保护地及生态保护红线等重点区域，实施“一类一策”，分类推进整改工作。严格环境准入，依法执行环境影响评价和“三同时”制度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从源头控制增量。实施空间、总量、项目“三位一体”的环境准入制度，实施“等量淘汰 (置换)”或“减量淘汰(置换)”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完成项目“三同时”验收，“三同时”执行率100%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大气治理初见成效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打赢蓝天保卫战三年行动计划，强力推进产业结构、交通结构、能源结构、用地结构等四大结构调整，认真组织实施控车、控煤、控气、控烧、控尘等“五控”措施，扎实推进主城区扬尘污染防治、餐饮油烟、汽车尾气、原煤散烧、非道路移动、有机挥发物、秸秆禁烧、锅炉整治、交通运输等九大污染源集中整治取得阶段性成效。持续加大大气污染防治监测、精细化管理系统和信息化建设，现代化立体监测网格化体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全面建成。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碧水攻坚战重点治理工程推深做实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点面结合，水陆并重，城乡统筹”的水污染防治工作方略，强力推进工业污染源治理、流域水环境治理和城乡生活污水综合治理。加快推进河道综合治理工程、工业集聚区污水收集处理工程、乡镇生活污水收集处理工程、污水收集处理提升工程、农作物秸秆综合利用提升工程、氟化物治理专项工程、地表水监测预警专项工程、农村人居环境改善工程等“八个专项治理工程”，巩固和扩大水污染防治成果。沱河、岱河、龙河、利民河、小黄河等小流域水污染防治得到了有效治理。主城区12条黑臭水体全部通过省住建厅和生态环境厅的联合验收，达到“初见成效”的治理要求，黑臭水体消除比例达91%。全市已建成的城镇污水处理能力达到46万吨/日，实际处理生活污水30万吨/日，城市污水集中处理率达到85%以上，每年可削减COD 13000吨。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全力推进7个省级工业集聚区的污水集中处理水平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各工污水集中处理设施建设，工业和生活污水基本实现能收尽收，在线监控设施实现联网运行，管理水平和管理效率明显提升。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智慧环保服务三大污染防治攻坚战能力显著提升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信息化、智慧化和数字化供给侧服务保障能力，推进生态环境决策和管理精准化、科学化。十三五期间，陆续组织实施了大气110指挥系统、大气微站点监测系统、水环境预警监测系统、重点污染源视频监控系统“三个全覆盖”等一系列环境监管信息化建设，并取得阶段性成效。其中，重点污染源“三个全覆盖”一期项目已经建设完成，44家重点污染源在线监测、视频监控已与省联网运行；省级以上6个工业园区三个全覆盖项目建设 “三个全覆盖”基本建成。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方正仿宋_GBK" w:hAnsi="方正仿宋_GBK" w:eastAsia="仿宋_GB2312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牌战略实施情况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全面推进放心消费创建及放心消费创建进乡村活动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全市12756户企业（店）参与放心消费创建，认定县级示范单位671户、市级示范单位109户、省级示范单位8户，放心消费创建示范街10条。引导152户大型零售超市和示范企业（店）开展线下购物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无理由退换货。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激发质量创新活力，鼓励企业开展质量提升小组活动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35个省制造强省项目，获得3414万省专项资金支持。新申报省级企业技术中心8家，获评5家。安徽淮宿建材有限公司、安徽东平木业有限公司被评为省技术创新示范企业。培育壮大民族企业和知名品牌，引导企业提升产品和服务附加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安徽佳力奇先进复合材料科技股份公司复合材料加筋壁板等6个产品获批“安徽工业精品”。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开展制造业质量标准提升行动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培育28个“安徽省工业精品”、3家工业和信息化领域标准化示范企业，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5家企业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入选安徽省制造业高端品牌培育企业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，2家企业申报安徽省人民政府质量奖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。宿州市昭德轩餐饮服务有限公司等 7家企业成功申报“安徽老字号”，南翔云集成功申报“安徽省特色商业街”。市级重要产品追溯体系管理平台已于2020年9月建成，并通过验收。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积极开展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全国质量强市示范城市、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全省食品药品安全城市和农产品质量安全县工作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。砀山县获得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国家级农产品安全县创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称号，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砀山县、萧县、泗县、埇桥区、灵璧县获得安徽省农产品安全县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，泗县、砀山县、灵璧县荣获“安徽省质量强县”称号，埇桥区、萧县完成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“安徽省质量强县”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市级预验收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宿马现代产业园区荣获工信部“第五批绿色工业园区”称号，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宿州市荣获“第六届全国文明城市”称号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存在的主要问题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产品质量、工程质量、服务质量、环境质量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全面提升，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质量监管日趋规范，质量成效更加明显，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经济社会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持续健康协调发展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但仍存在不容忽视的问题，质量建设仍然任重道远。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Chars="200" w:right="0" w:rightChars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（一）质量发展法规政策不完善，工作方法创新不足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部分质量法规政策不够健全，支持和鼓励企业品牌建设力度不够，一定程度上影响品牌数量提升。相关部门互动性不强，合作不密切，各部门协调联动、共抓共管的工作体系需进一步完善。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质量工作开展缺少原创性作品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缺少在全省、全国具有知名度的制度创新和方法创新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质量工作开展机制缺少亮点，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创造创新能力有待提高。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（二）质量品牌数量不多，竞争优势不大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虽然我市实施质量品牌战略取得一定成绩，但与我市经济社会各项事业的跨越发展相比，品牌发展仍显滞后，产业层次较低，科技创新能力较弱，产品质量总体水平不高。仍然存在企业对品牌战略认识不到位、创建品牌意识不强、品牌建设不重视等问题，进而导致我市质量品牌数量较少、规模较小、缺乏竞争优势和品牌影响力，无法代表宿州形象。2020年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在全国和全省组织的一些企业竞赛上，我市企业底气和实力不足，在安徽省人民政府质量奖评审中，我市没有一家企业获奖。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（三）质量提升基础设施薄弱，保障能力不足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技术支撑能力有限。企业技术基础总体薄弱，创新意识不强，研发能力不足。现有检验机器落后老化，检验检测机构技术人员缺乏。二是资金保障能力不足。质量发展、知识产权奖励等政府激励政策有待细化落实，部分县区、园区质量激励资金不能及时兑现，质量管理资金投入较少。三是质量发展人才队伍有待加强。市场监管局作为质量发展牵头单位，人手少，专业化人员更少，队伍建设亟需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Chars="20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（四）生产和生活服务质量仍需提升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我市服务业发展质量总体水平不高，与先进地区相比，仍有较大差距，存在服务品质不高、服务能力不强，服务质量不平衡等问题。服务行业质量体系认证还没有普及，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缺乏比较系统、规范、科学的服务质量标准和质量评价体系，滞后于经济发展和质量强市建设。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生产性服务业有待向专业化和价值链高端延伸，生活性服务业有待向高品质和多样化升级。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leftChars="0" w:right="0" w:rightChars="0"/>
        <w:jc w:val="center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对策与建议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市在开展质量提升工作方面，虽取得了一些成绩，但与上级的要求和群众的期盼还有很大的差距，下一步，我们将针对当前存在的主要质量问题，围绕高质量发展的总体目标，学习借鉴先进经验方法，强化质量管理，真抓实干，推动我市质量工作总体水平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一要强化组织领导，加强部门协作。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落实质量强国质量强省战略，按照质量提升工作“六个一”要求，扎实推进我市质量强市建设。围绕推进我市高质量发展，构建一个党政主要领导“双挂帅”、各部门齐抓共管、运行有力的质量发展工作体制机制，充分发挥质量发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办公室议事协调机构作用，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加强各部门合作配合，交流总结质量提升经验，分析问题，共同推进我市质量工作与品牌建设。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二要实施品牌发展战略，培养精品名牌。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大企业宣传力度，增强企业品牌意识，培育优势企业，增强市场竞争力。加强品牌规划引导，开展制造业高端品牌企业培育，推动企业采用现代化质量管理方法，逐渐形成一批质量好、效益佳、市场占有率高、自主创新能力强、用户认可的知名制造业企业。积极开展政府质量奖评选活动，择优推荐参加省政府质量奖评选，支持重点产业和产品争创品牌，通过区域品牌的培育、经营，带动和促进区域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三要充实人员力量，增加经费保障。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高质量工作经费投入，完善质量基础设施建设，不断升级技术装备，增强检测能力。修订完善促进高质量发展的质量政策，推动各县区、园区出台设立质量发展基金等激励措施。加强人员力量，充实基层从事质量发展工作人员。推动质量发展入学入校，把质量发展纳入党委中心理论组学习和党校、行政学院以及各类干部培训活动教学计划，加强业务能力培训，提高质量工作人员水平、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四要加大宣传力度，营造浓厚氛围。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充分利用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电视、报纸、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网站、微信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公众号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平台，加大宣传力度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宣传党和国家质量工作方针政策和我市质量工作决策部署，深入报道我市质量提升的丰富实践，提升质量意识，增加质量相关知识。推动“质量月”和“中国品牌日”等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活动向纵深开展，开展质量品牌知识进机关、进企业、进校园、进乡镇、进社区活动。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形成“人人重视质量、人人创造质量、人人享受质量”的社会氛围。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五要进一步加强服务业质量提升工作。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职能部门充分履职尽责，积极探索建立长效机制，完善服务行业质量体系和认证标准，加强对服务业质量监督监管。围绕密切关系民生的教育、医疗、餐饮、文娱等服务行业，大力开展质量安全隐患排查和专项治理活动，严厉打击质量违法行为，加大宣传引导和媒体曝光力度，进一步整顿和规范行业秩序，提升服务质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说明：本白皮书数据来源于市经济和信息化局、市农业农村局、市市场监督管理局、市生态环境局、市住房和城乡建设局、市文化和旅游局、市统计局、市卫生健康委员会、市交通运输局、市水利局、市财政局（国资委）等单位。</w:t>
      </w:r>
    </w:p>
    <w:sectPr>
      <w:footerReference r:id="rId4" w:type="default"/>
      <w:pgSz w:w="11906" w:h="16838"/>
      <w:pgMar w:top="1247" w:right="1361" w:bottom="1247" w:left="136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E5AF5"/>
    <w:multiLevelType w:val="singleLevel"/>
    <w:tmpl w:val="CC6E5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50E6E5"/>
    <w:multiLevelType w:val="singleLevel"/>
    <w:tmpl w:val="1850E6E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34514E5"/>
    <w:multiLevelType w:val="singleLevel"/>
    <w:tmpl w:val="434514E5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A976BB4"/>
    <w:multiLevelType w:val="singleLevel"/>
    <w:tmpl w:val="5A976BB4"/>
    <w:lvl w:ilvl="0" w:tentative="0">
      <w:start w:val="4"/>
      <w:numFmt w:val="chineseCounting"/>
      <w:suff w:val="nothing"/>
      <w:lvlText w:val="（%1）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qjMQc/uv1VY1gugGuRio0/3c2o=" w:salt="JgeT9wMQkHDPGYwI6i6/u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3B95"/>
    <w:rsid w:val="00FE1054"/>
    <w:rsid w:val="01AF3776"/>
    <w:rsid w:val="02492381"/>
    <w:rsid w:val="02C35FA2"/>
    <w:rsid w:val="02C40E4D"/>
    <w:rsid w:val="03B35D1D"/>
    <w:rsid w:val="03C620D3"/>
    <w:rsid w:val="04102028"/>
    <w:rsid w:val="047220A2"/>
    <w:rsid w:val="05AF12B1"/>
    <w:rsid w:val="064929F6"/>
    <w:rsid w:val="06A0315F"/>
    <w:rsid w:val="06FB0C9C"/>
    <w:rsid w:val="06FB11B7"/>
    <w:rsid w:val="070B0369"/>
    <w:rsid w:val="071E642E"/>
    <w:rsid w:val="0916645A"/>
    <w:rsid w:val="092810C9"/>
    <w:rsid w:val="097566DB"/>
    <w:rsid w:val="0A3106E4"/>
    <w:rsid w:val="0AED49CE"/>
    <w:rsid w:val="0B806066"/>
    <w:rsid w:val="0C62262F"/>
    <w:rsid w:val="0D622765"/>
    <w:rsid w:val="0DFF63EA"/>
    <w:rsid w:val="0EBB6DD2"/>
    <w:rsid w:val="0F076F16"/>
    <w:rsid w:val="0F946DE4"/>
    <w:rsid w:val="0FA94F7C"/>
    <w:rsid w:val="10107379"/>
    <w:rsid w:val="104E63FC"/>
    <w:rsid w:val="105423F0"/>
    <w:rsid w:val="113C391E"/>
    <w:rsid w:val="118F0868"/>
    <w:rsid w:val="12224034"/>
    <w:rsid w:val="1238105A"/>
    <w:rsid w:val="12696AA7"/>
    <w:rsid w:val="133C14A4"/>
    <w:rsid w:val="13685F1B"/>
    <w:rsid w:val="13CD6BCA"/>
    <w:rsid w:val="14B37116"/>
    <w:rsid w:val="14CD1412"/>
    <w:rsid w:val="156F6BF2"/>
    <w:rsid w:val="16B26277"/>
    <w:rsid w:val="184A1A73"/>
    <w:rsid w:val="1A0D28CB"/>
    <w:rsid w:val="1A58323D"/>
    <w:rsid w:val="1A9E513E"/>
    <w:rsid w:val="1CCD66D1"/>
    <w:rsid w:val="1D1D4700"/>
    <w:rsid w:val="1D3D23A6"/>
    <w:rsid w:val="1D4F523F"/>
    <w:rsid w:val="1D597655"/>
    <w:rsid w:val="1D802210"/>
    <w:rsid w:val="1E0D0FEF"/>
    <w:rsid w:val="1E2028DA"/>
    <w:rsid w:val="1E3748D4"/>
    <w:rsid w:val="1E434AD4"/>
    <w:rsid w:val="1E96183F"/>
    <w:rsid w:val="1E994A2A"/>
    <w:rsid w:val="1F843516"/>
    <w:rsid w:val="1F8E4D19"/>
    <w:rsid w:val="208D2B5D"/>
    <w:rsid w:val="20AD6EBD"/>
    <w:rsid w:val="222023FE"/>
    <w:rsid w:val="22FC72F6"/>
    <w:rsid w:val="232C7B48"/>
    <w:rsid w:val="23AE1C94"/>
    <w:rsid w:val="24CD2FBD"/>
    <w:rsid w:val="2541116A"/>
    <w:rsid w:val="25B44EF8"/>
    <w:rsid w:val="25CD748D"/>
    <w:rsid w:val="25E20C41"/>
    <w:rsid w:val="267F16A0"/>
    <w:rsid w:val="26827E95"/>
    <w:rsid w:val="27545251"/>
    <w:rsid w:val="275C6899"/>
    <w:rsid w:val="27B06DB3"/>
    <w:rsid w:val="28204AC6"/>
    <w:rsid w:val="287D6A7A"/>
    <w:rsid w:val="2914544E"/>
    <w:rsid w:val="29827B12"/>
    <w:rsid w:val="2A5C3004"/>
    <w:rsid w:val="2AFB4851"/>
    <w:rsid w:val="2B7E6B1E"/>
    <w:rsid w:val="2BCD2E1E"/>
    <w:rsid w:val="2C28300C"/>
    <w:rsid w:val="2D50305C"/>
    <w:rsid w:val="2FD6486F"/>
    <w:rsid w:val="2FE73D5E"/>
    <w:rsid w:val="31963C23"/>
    <w:rsid w:val="327439E9"/>
    <w:rsid w:val="329651D0"/>
    <w:rsid w:val="33F251F0"/>
    <w:rsid w:val="34DC6076"/>
    <w:rsid w:val="354C1D69"/>
    <w:rsid w:val="358E66EE"/>
    <w:rsid w:val="35DD4D74"/>
    <w:rsid w:val="36157019"/>
    <w:rsid w:val="3751736C"/>
    <w:rsid w:val="3764119D"/>
    <w:rsid w:val="3814640C"/>
    <w:rsid w:val="38344FC7"/>
    <w:rsid w:val="388E7EAF"/>
    <w:rsid w:val="38EE715C"/>
    <w:rsid w:val="391A73A5"/>
    <w:rsid w:val="39372BF7"/>
    <w:rsid w:val="39AA0C16"/>
    <w:rsid w:val="3A344392"/>
    <w:rsid w:val="3A9F6978"/>
    <w:rsid w:val="3ACE61D6"/>
    <w:rsid w:val="3AEF1D45"/>
    <w:rsid w:val="3B4863D4"/>
    <w:rsid w:val="3C2A7F58"/>
    <w:rsid w:val="3C6E05FE"/>
    <w:rsid w:val="3CB6400D"/>
    <w:rsid w:val="3CBA5B10"/>
    <w:rsid w:val="3CFC797C"/>
    <w:rsid w:val="3D0367AA"/>
    <w:rsid w:val="3E051FDF"/>
    <w:rsid w:val="3E0F18B8"/>
    <w:rsid w:val="3EEF42F9"/>
    <w:rsid w:val="3FCF52AE"/>
    <w:rsid w:val="3FF37F24"/>
    <w:rsid w:val="3FF709F0"/>
    <w:rsid w:val="40660C87"/>
    <w:rsid w:val="41206FB8"/>
    <w:rsid w:val="418D6787"/>
    <w:rsid w:val="423B12FE"/>
    <w:rsid w:val="42437B94"/>
    <w:rsid w:val="4365598B"/>
    <w:rsid w:val="43832B27"/>
    <w:rsid w:val="43E734CE"/>
    <w:rsid w:val="4404123F"/>
    <w:rsid w:val="442600CF"/>
    <w:rsid w:val="44424E59"/>
    <w:rsid w:val="449F14B2"/>
    <w:rsid w:val="44A30CE2"/>
    <w:rsid w:val="44B86DCF"/>
    <w:rsid w:val="44D10A68"/>
    <w:rsid w:val="44F13884"/>
    <w:rsid w:val="45B835AB"/>
    <w:rsid w:val="45FD1FED"/>
    <w:rsid w:val="46946590"/>
    <w:rsid w:val="46FE21D1"/>
    <w:rsid w:val="47047BE8"/>
    <w:rsid w:val="473D22B7"/>
    <w:rsid w:val="47C17EA8"/>
    <w:rsid w:val="48261B30"/>
    <w:rsid w:val="48F7036E"/>
    <w:rsid w:val="49872F38"/>
    <w:rsid w:val="49D743DC"/>
    <w:rsid w:val="4A482670"/>
    <w:rsid w:val="4A816662"/>
    <w:rsid w:val="4AA46118"/>
    <w:rsid w:val="4B636774"/>
    <w:rsid w:val="4BBA2056"/>
    <w:rsid w:val="4BDA5417"/>
    <w:rsid w:val="4CA73858"/>
    <w:rsid w:val="4D073D16"/>
    <w:rsid w:val="4D804FD5"/>
    <w:rsid w:val="4D852BEA"/>
    <w:rsid w:val="4DA73F28"/>
    <w:rsid w:val="4F551033"/>
    <w:rsid w:val="5102090A"/>
    <w:rsid w:val="51C102C7"/>
    <w:rsid w:val="5232008A"/>
    <w:rsid w:val="529703A1"/>
    <w:rsid w:val="52B01A2D"/>
    <w:rsid w:val="52F200BD"/>
    <w:rsid w:val="53016371"/>
    <w:rsid w:val="5337755C"/>
    <w:rsid w:val="53773AC1"/>
    <w:rsid w:val="53DC25DD"/>
    <w:rsid w:val="55006388"/>
    <w:rsid w:val="550145B7"/>
    <w:rsid w:val="55EB22C2"/>
    <w:rsid w:val="561D6859"/>
    <w:rsid w:val="56D3524F"/>
    <w:rsid w:val="58265FAC"/>
    <w:rsid w:val="582F4FF1"/>
    <w:rsid w:val="5876679A"/>
    <w:rsid w:val="58A91400"/>
    <w:rsid w:val="591B7E9B"/>
    <w:rsid w:val="596F7C8D"/>
    <w:rsid w:val="59DD4737"/>
    <w:rsid w:val="5A1B2FB2"/>
    <w:rsid w:val="5AEF5760"/>
    <w:rsid w:val="5B677D3E"/>
    <w:rsid w:val="5BCE2C35"/>
    <w:rsid w:val="5BD94B40"/>
    <w:rsid w:val="5BDF68F7"/>
    <w:rsid w:val="5C9D4A3A"/>
    <w:rsid w:val="5CA51C96"/>
    <w:rsid w:val="5D7454ED"/>
    <w:rsid w:val="5DDF7DCF"/>
    <w:rsid w:val="5E2C595E"/>
    <w:rsid w:val="5E4B75E2"/>
    <w:rsid w:val="5EAA2751"/>
    <w:rsid w:val="5EB46482"/>
    <w:rsid w:val="5EE07B59"/>
    <w:rsid w:val="5F276626"/>
    <w:rsid w:val="5F5A3A7A"/>
    <w:rsid w:val="5F986DD3"/>
    <w:rsid w:val="5F9B58B2"/>
    <w:rsid w:val="5FEE4B73"/>
    <w:rsid w:val="60846C97"/>
    <w:rsid w:val="6093671C"/>
    <w:rsid w:val="615D61D9"/>
    <w:rsid w:val="618A3C03"/>
    <w:rsid w:val="61981A65"/>
    <w:rsid w:val="6281187A"/>
    <w:rsid w:val="6305694B"/>
    <w:rsid w:val="631F19E9"/>
    <w:rsid w:val="633E273D"/>
    <w:rsid w:val="63846F24"/>
    <w:rsid w:val="639A6662"/>
    <w:rsid w:val="64D03765"/>
    <w:rsid w:val="654A7A1F"/>
    <w:rsid w:val="65AD54E4"/>
    <w:rsid w:val="6723610B"/>
    <w:rsid w:val="6B0F3B67"/>
    <w:rsid w:val="6C216D44"/>
    <w:rsid w:val="6C2A6D4C"/>
    <w:rsid w:val="6C82151A"/>
    <w:rsid w:val="6CF567FD"/>
    <w:rsid w:val="6DD64C67"/>
    <w:rsid w:val="6E513044"/>
    <w:rsid w:val="6E8759BA"/>
    <w:rsid w:val="6FC0589F"/>
    <w:rsid w:val="7123763A"/>
    <w:rsid w:val="71D0480D"/>
    <w:rsid w:val="71F66789"/>
    <w:rsid w:val="72277ABB"/>
    <w:rsid w:val="73552380"/>
    <w:rsid w:val="743E180D"/>
    <w:rsid w:val="74FD3A74"/>
    <w:rsid w:val="75A83CB4"/>
    <w:rsid w:val="75C31A4F"/>
    <w:rsid w:val="76065A78"/>
    <w:rsid w:val="76A6384C"/>
    <w:rsid w:val="76D7087A"/>
    <w:rsid w:val="76F960A9"/>
    <w:rsid w:val="777A4EEF"/>
    <w:rsid w:val="777F3809"/>
    <w:rsid w:val="778E6422"/>
    <w:rsid w:val="78B4513C"/>
    <w:rsid w:val="78E92DD7"/>
    <w:rsid w:val="7908671E"/>
    <w:rsid w:val="79140B98"/>
    <w:rsid w:val="7A2B5B7E"/>
    <w:rsid w:val="7A670C69"/>
    <w:rsid w:val="7BC04469"/>
    <w:rsid w:val="7BC830BE"/>
    <w:rsid w:val="7C02261A"/>
    <w:rsid w:val="7C773E10"/>
    <w:rsid w:val="7C843EF1"/>
    <w:rsid w:val="7D4E5A3C"/>
    <w:rsid w:val="7D9537CD"/>
    <w:rsid w:val="7DC42FD8"/>
    <w:rsid w:val="7EEC64CD"/>
    <w:rsid w:val="7F015A7B"/>
    <w:rsid w:val="7F1F502D"/>
    <w:rsid w:val="7F2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kern w:val="0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rFonts w:hint="default" w:ascii="Times New Roman" w:hAnsi="Times New Roman" w:eastAsia="宋体" w:cs="Times New Roman"/>
      <w:sz w:val="24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小梨涡er</cp:lastModifiedBy>
  <cp:lastPrinted>2021-04-16T01:22:00Z</cp:lastPrinted>
  <dcterms:modified xsi:type="dcterms:W3CDTF">2021-09-06T09:33:12Z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278289074_cloud</vt:lpwstr>
  </property>
</Properties>
</file>