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hAnsi="宋体" w:eastAsia="仿宋_GB2312"/>
          <w:bCs/>
          <w:sz w:val="32"/>
          <w:szCs w:val="32"/>
        </w:rPr>
      </w:pPr>
    </w:p>
    <w:p>
      <w:pPr>
        <w:jc w:val="center"/>
        <w:rPr>
          <w:rFonts w:hint="eastAsia" w:ascii="方正小标宋_GBK" w:hAnsi="方正小标宋_GBK" w:eastAsia="方正小标宋_GBK" w:cs="方正小标宋_GBK"/>
          <w:bCs/>
          <w:sz w:val="52"/>
          <w:szCs w:val="52"/>
        </w:rPr>
      </w:pPr>
      <w:r>
        <w:rPr>
          <w:rFonts w:hint="eastAsia" w:ascii="方正小标宋_GBK" w:hAnsi="方正小标宋_GBK" w:eastAsia="方正小标宋_GBK" w:cs="方正小标宋_GBK"/>
          <w:bCs/>
          <w:sz w:val="52"/>
          <w:szCs w:val="52"/>
        </w:rPr>
        <w:t>宿州市</w:t>
      </w:r>
      <w:r>
        <w:rPr>
          <w:rFonts w:hint="eastAsia" w:ascii="方正小标宋_GBK" w:hAnsi="方正小标宋_GBK" w:eastAsia="方正小标宋_GBK" w:cs="方正小标宋_GBK"/>
          <w:bCs/>
          <w:sz w:val="52"/>
          <w:szCs w:val="52"/>
          <w:lang w:val="en-US" w:eastAsia="zh-CN"/>
        </w:rPr>
        <w:t>市场监督管理局</w:t>
      </w:r>
      <w:r>
        <w:rPr>
          <w:rFonts w:hint="eastAsia" w:ascii="方正小标宋_GBK" w:hAnsi="方正小标宋_GBK" w:eastAsia="方正小标宋_GBK" w:cs="方正小标宋_GBK"/>
          <w:bCs/>
          <w:sz w:val="52"/>
          <w:szCs w:val="52"/>
        </w:rPr>
        <w:t>网络安全</w:t>
      </w:r>
    </w:p>
    <w:p>
      <w:pPr>
        <w:jc w:val="center"/>
        <w:rPr>
          <w:rFonts w:ascii="方正小标宋简体" w:hAnsi="宋体" w:eastAsia="方正小标宋简体"/>
          <w:bCs/>
          <w:sz w:val="48"/>
          <w:szCs w:val="48"/>
        </w:rPr>
      </w:pPr>
      <w:r>
        <w:rPr>
          <w:rFonts w:hint="eastAsia" w:ascii="方正小标宋_GBK" w:hAnsi="方正小标宋_GBK" w:eastAsia="方正小标宋_GBK" w:cs="方正小标宋_GBK"/>
          <w:bCs/>
          <w:sz w:val="52"/>
          <w:szCs w:val="52"/>
        </w:rPr>
        <w:t>等级保护测评项目</w:t>
      </w:r>
    </w:p>
    <w:p>
      <w:pPr>
        <w:jc w:val="center"/>
        <w:rPr>
          <w:rFonts w:ascii="仿宋_GB2312" w:hAnsi="宋体" w:eastAsia="仿宋_GB2312"/>
          <w:bCs/>
          <w:sz w:val="32"/>
          <w:szCs w:val="32"/>
        </w:rPr>
      </w:pPr>
    </w:p>
    <w:p>
      <w:pPr>
        <w:jc w:val="center"/>
        <w:rPr>
          <w:rFonts w:ascii="仿宋_GB2312" w:hAnsi="宋体" w:eastAsia="仿宋_GB2312"/>
          <w:bCs/>
          <w:sz w:val="32"/>
          <w:szCs w:val="32"/>
        </w:rPr>
      </w:pPr>
    </w:p>
    <w:p>
      <w:pPr>
        <w:tabs>
          <w:tab w:val="left" w:pos="0"/>
        </w:tabs>
        <w:autoSpaceDE w:val="0"/>
        <w:autoSpaceDN w:val="0"/>
        <w:adjustRightInd w:val="0"/>
        <w:spacing w:before="624" w:after="156"/>
        <w:jc w:val="center"/>
        <w:rPr>
          <w:rFonts w:ascii="黑体" w:hAnsi="黑体" w:eastAsia="黑体" w:cs="宋体"/>
          <w:bCs/>
          <w:sz w:val="44"/>
          <w:szCs w:val="44"/>
        </w:rPr>
      </w:pPr>
      <w:r>
        <w:rPr>
          <w:rFonts w:hint="eastAsia" w:ascii="黑体" w:hAnsi="黑体" w:eastAsia="黑体" w:cs="宋体"/>
          <w:bCs/>
          <w:sz w:val="44"/>
          <w:szCs w:val="44"/>
        </w:rPr>
        <w:t>询</w:t>
      </w:r>
    </w:p>
    <w:p>
      <w:pPr>
        <w:tabs>
          <w:tab w:val="left" w:pos="0"/>
        </w:tabs>
        <w:autoSpaceDE w:val="0"/>
        <w:autoSpaceDN w:val="0"/>
        <w:adjustRightInd w:val="0"/>
        <w:spacing w:before="624" w:after="156"/>
        <w:jc w:val="center"/>
        <w:rPr>
          <w:rFonts w:ascii="黑体" w:hAnsi="黑体" w:eastAsia="黑体" w:cs="宋体"/>
          <w:bCs/>
          <w:sz w:val="44"/>
          <w:szCs w:val="44"/>
        </w:rPr>
      </w:pPr>
      <w:r>
        <w:rPr>
          <w:rFonts w:hint="eastAsia" w:ascii="黑体" w:hAnsi="黑体" w:eastAsia="黑体" w:cs="宋体"/>
          <w:bCs/>
          <w:sz w:val="44"/>
          <w:szCs w:val="44"/>
        </w:rPr>
        <w:t>价</w:t>
      </w:r>
    </w:p>
    <w:p>
      <w:pPr>
        <w:tabs>
          <w:tab w:val="left" w:pos="0"/>
        </w:tabs>
        <w:autoSpaceDE w:val="0"/>
        <w:autoSpaceDN w:val="0"/>
        <w:adjustRightInd w:val="0"/>
        <w:spacing w:before="624" w:after="156"/>
        <w:jc w:val="center"/>
        <w:rPr>
          <w:rFonts w:ascii="黑体" w:hAnsi="黑体" w:eastAsia="黑体" w:cs="宋体"/>
          <w:bCs/>
          <w:sz w:val="44"/>
          <w:szCs w:val="44"/>
        </w:rPr>
      </w:pPr>
      <w:r>
        <w:rPr>
          <w:rFonts w:ascii="黑体" w:hAnsi="黑体" w:eastAsia="黑体" w:cs="宋体"/>
          <w:bCs/>
          <w:sz w:val="44"/>
          <w:szCs w:val="44"/>
        </w:rPr>
        <w:t>文</w:t>
      </w:r>
    </w:p>
    <w:p>
      <w:pPr>
        <w:tabs>
          <w:tab w:val="left" w:pos="0"/>
        </w:tabs>
        <w:autoSpaceDE w:val="0"/>
        <w:autoSpaceDN w:val="0"/>
        <w:adjustRightInd w:val="0"/>
        <w:spacing w:before="624" w:after="156"/>
        <w:jc w:val="center"/>
        <w:rPr>
          <w:rFonts w:ascii="黑体" w:hAnsi="黑体" w:eastAsia="黑体" w:cs="宋体"/>
          <w:bCs/>
          <w:sz w:val="44"/>
          <w:szCs w:val="44"/>
        </w:rPr>
      </w:pPr>
      <w:r>
        <w:rPr>
          <w:rFonts w:ascii="黑体" w:hAnsi="黑体" w:eastAsia="黑体" w:cs="宋体"/>
          <w:bCs/>
          <w:sz w:val="44"/>
          <w:szCs w:val="44"/>
        </w:rPr>
        <w:t>件</w:t>
      </w:r>
    </w:p>
    <w:p>
      <w:pPr>
        <w:tabs>
          <w:tab w:val="left" w:pos="0"/>
        </w:tabs>
        <w:autoSpaceDE w:val="0"/>
        <w:autoSpaceDN w:val="0"/>
        <w:adjustRightInd w:val="0"/>
        <w:spacing w:before="624" w:after="156"/>
        <w:jc w:val="center"/>
        <w:rPr>
          <w:rFonts w:ascii="黑体" w:eastAsia="黑体"/>
          <w:bCs/>
          <w:sz w:val="44"/>
          <w:szCs w:val="44"/>
          <w:lang w:val="zh-CN"/>
        </w:rPr>
      </w:pPr>
    </w:p>
    <w:p>
      <w:pPr>
        <w:tabs>
          <w:tab w:val="left" w:pos="0"/>
        </w:tabs>
        <w:autoSpaceDE w:val="0"/>
        <w:autoSpaceDN w:val="0"/>
        <w:adjustRightInd w:val="0"/>
        <w:spacing w:before="300" w:after="156" w:line="400" w:lineRule="exact"/>
        <w:jc w:val="center"/>
        <w:rPr>
          <w:rFonts w:ascii="黑体" w:eastAsia="黑体"/>
          <w:bCs/>
          <w:sz w:val="44"/>
          <w:szCs w:val="44"/>
          <w:lang w:val="zh-CN"/>
        </w:rPr>
      </w:pPr>
    </w:p>
    <w:p>
      <w:pPr>
        <w:tabs>
          <w:tab w:val="left" w:pos="0"/>
        </w:tabs>
        <w:autoSpaceDE w:val="0"/>
        <w:autoSpaceDN w:val="0"/>
        <w:adjustRightInd w:val="0"/>
        <w:spacing w:before="300" w:after="156" w:line="400" w:lineRule="exact"/>
        <w:jc w:val="center"/>
        <w:rPr>
          <w:rFonts w:ascii="黑体" w:eastAsia="黑体"/>
          <w:bCs/>
          <w:sz w:val="44"/>
          <w:szCs w:val="44"/>
          <w:lang w:val="zh-CN"/>
        </w:rPr>
      </w:pPr>
    </w:p>
    <w:p>
      <w:pPr>
        <w:tabs>
          <w:tab w:val="left" w:pos="0"/>
        </w:tabs>
        <w:autoSpaceDE w:val="0"/>
        <w:autoSpaceDN w:val="0"/>
        <w:adjustRightInd w:val="0"/>
        <w:spacing w:before="300" w:after="156" w:line="400" w:lineRule="exact"/>
        <w:jc w:val="center"/>
        <w:rPr>
          <w:rFonts w:ascii="黑体" w:eastAsia="黑体"/>
          <w:bCs/>
          <w:sz w:val="44"/>
          <w:szCs w:val="44"/>
          <w:lang w:val="zh-CN"/>
        </w:rPr>
      </w:pPr>
    </w:p>
    <w:p>
      <w:pPr>
        <w:tabs>
          <w:tab w:val="left" w:pos="0"/>
        </w:tabs>
        <w:autoSpaceDE w:val="0"/>
        <w:autoSpaceDN w:val="0"/>
        <w:adjustRightInd w:val="0"/>
        <w:spacing w:before="300" w:after="156" w:line="400" w:lineRule="exact"/>
        <w:jc w:val="center"/>
        <w:rPr>
          <w:rFonts w:ascii="黑体" w:eastAsia="黑体"/>
          <w:bCs/>
          <w:sz w:val="44"/>
          <w:szCs w:val="44"/>
          <w:lang w:val="zh-CN"/>
        </w:rPr>
      </w:pPr>
    </w:p>
    <w:p>
      <w:pPr>
        <w:jc w:val="center"/>
        <w:rPr>
          <w:rFonts w:ascii="黑体" w:eastAsia="黑体" w:cs="宋体"/>
          <w:bCs/>
          <w:sz w:val="44"/>
          <w:szCs w:val="44"/>
          <w:lang w:val="zh-CN"/>
        </w:rPr>
      </w:pPr>
      <w:r>
        <w:rPr>
          <w:rFonts w:hint="eastAsia" w:ascii="黑体" w:eastAsia="黑体" w:cs="宋体"/>
          <w:bCs/>
          <w:sz w:val="44"/>
          <w:szCs w:val="44"/>
          <w:lang w:val="zh-CN"/>
        </w:rPr>
        <w:t>二〇</w:t>
      </w:r>
      <w:r>
        <w:rPr>
          <w:rFonts w:hint="eastAsia" w:ascii="黑体" w:eastAsia="黑体" w:cs="宋体"/>
          <w:bCs/>
          <w:sz w:val="44"/>
          <w:szCs w:val="44"/>
          <w:lang w:val="en-US" w:eastAsia="zh-CN"/>
        </w:rPr>
        <w:t>二一</w:t>
      </w:r>
      <w:r>
        <w:rPr>
          <w:rFonts w:hint="eastAsia" w:ascii="黑体" w:eastAsia="黑体" w:cs="宋体"/>
          <w:bCs/>
          <w:sz w:val="44"/>
          <w:szCs w:val="44"/>
          <w:lang w:val="zh-CN"/>
        </w:rPr>
        <w:t>年</w:t>
      </w:r>
      <w:r>
        <w:rPr>
          <w:rFonts w:hint="eastAsia" w:ascii="黑体" w:eastAsia="黑体" w:cs="宋体"/>
          <w:bCs/>
          <w:sz w:val="44"/>
          <w:szCs w:val="44"/>
          <w:lang w:val="en-US" w:eastAsia="zh-CN"/>
        </w:rPr>
        <w:t>六</w:t>
      </w:r>
      <w:r>
        <w:rPr>
          <w:rFonts w:hint="eastAsia" w:ascii="黑体" w:eastAsia="黑体" w:cs="宋体"/>
          <w:bCs/>
          <w:sz w:val="44"/>
          <w:szCs w:val="44"/>
          <w:lang w:val="zh-CN"/>
        </w:rPr>
        <w:t>月</w:t>
      </w:r>
    </w:p>
    <w:p/>
    <w:p>
      <w:pPr>
        <w:spacing w:line="360" w:lineRule="auto"/>
        <w:ind w:firstLine="640" w:firstLineChars="200"/>
        <w:rPr>
          <w:rFonts w:hint="eastAsia" w:ascii="方正黑体_GBK" w:hAnsi="方正黑体_GBK" w:eastAsia="方正黑体_GBK" w:cs="方正黑体_GBK"/>
          <w:b w:val="0"/>
          <w:bCs w:val="0"/>
          <w:sz w:val="32"/>
          <w:szCs w:val="32"/>
        </w:rPr>
      </w:pPr>
      <w:r>
        <w:rPr>
          <w:rFonts w:hint="eastAsia" w:ascii="方正黑体_GBK" w:hAnsi="方正黑体_GBK" w:eastAsia="方正黑体_GBK" w:cs="方正黑体_GBK"/>
          <w:b w:val="0"/>
          <w:bCs w:val="0"/>
          <w:sz w:val="32"/>
          <w:szCs w:val="32"/>
          <w:lang w:eastAsia="zh-CN"/>
        </w:rPr>
        <w:t>一</w:t>
      </w:r>
      <w:r>
        <w:rPr>
          <w:rFonts w:hint="eastAsia" w:ascii="方正黑体_GBK" w:hAnsi="方正黑体_GBK" w:eastAsia="方正黑体_GBK" w:cs="方正黑体_GBK"/>
          <w:b w:val="0"/>
          <w:bCs w:val="0"/>
          <w:sz w:val="32"/>
          <w:szCs w:val="32"/>
        </w:rPr>
        <w:t>、项目概况</w:t>
      </w:r>
    </w:p>
    <w:p>
      <w:pPr>
        <w:spacing w:line="592" w:lineRule="exact"/>
        <w:ind w:firstLine="480" w:firstLineChars="200"/>
        <w:rPr>
          <w:rFonts w:ascii="仿宋_GB2312" w:hAnsi="仿宋" w:eastAsia="仿宋_GB2312" w:cs="宋体"/>
          <w:sz w:val="32"/>
          <w:szCs w:val="32"/>
        </w:rPr>
      </w:pPr>
      <w:r>
        <w:rPr>
          <w:rFonts w:hint="eastAsia" w:cs="宋体" w:asciiTheme="minorEastAsia" w:hAnsiTheme="minorEastAsia" w:eastAsiaTheme="minorEastAsia"/>
          <w:sz w:val="24"/>
          <w:szCs w:val="24"/>
        </w:rPr>
        <w:t>为深入贯彻落实习近平总书记关于网络安全工作的重要指示精神和《网络安全法》要求，根据公安部、国信办联合印发《信息系统安全等级保护管理办法》（公通字【2007】43号）、《关于信息系统安全等级保护工作的实施意见》（公通字【2004】66号）、《关于开展全国重要信息系统安全等级保护定级工作的通知》（公信安【2007】861号）等相关文件要求，我</w:t>
      </w:r>
      <w:r>
        <w:rPr>
          <w:rFonts w:hint="eastAsia" w:cs="宋体" w:asciiTheme="minorEastAsia" w:hAnsiTheme="minorEastAsia" w:eastAsiaTheme="minorEastAsia"/>
          <w:sz w:val="24"/>
          <w:szCs w:val="24"/>
          <w:lang w:val="en-US" w:eastAsia="zh-CN"/>
        </w:rPr>
        <w:t>局</w:t>
      </w:r>
      <w:r>
        <w:rPr>
          <w:rFonts w:hint="eastAsia" w:cs="宋体" w:asciiTheme="minorEastAsia" w:hAnsiTheme="minorEastAsia" w:eastAsiaTheme="minorEastAsia"/>
          <w:sz w:val="24"/>
          <w:szCs w:val="24"/>
        </w:rPr>
        <w:t>拟对以下系统开展网络安全等级保护测评工作</w:t>
      </w:r>
      <w:r>
        <w:rPr>
          <w:rFonts w:hint="eastAsia" w:ascii="仿宋_GB2312" w:hAnsi="仿宋" w:eastAsia="仿宋_GB2312" w:cs="宋体"/>
          <w:sz w:val="32"/>
          <w:szCs w:val="32"/>
        </w:rPr>
        <w:t>：</w:t>
      </w:r>
    </w:p>
    <w:tbl>
      <w:tblPr>
        <w:tblStyle w:val="9"/>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09"/>
        <w:gridCol w:w="3310"/>
        <w:gridCol w:w="2552"/>
        <w:gridCol w:w="17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88" w:hRule="atLeast"/>
        </w:trPr>
        <w:tc>
          <w:tcPr>
            <w:tcW w:w="909" w:type="dxa"/>
            <w:shd w:val="clear" w:color="auto" w:fill="D7D7D7"/>
            <w:vAlign w:val="center"/>
          </w:tcPr>
          <w:p>
            <w:pPr>
              <w:jc w:val="center"/>
              <w:rPr>
                <w:rFonts w:ascii="仿宋_GB2312" w:hAnsi="宋体" w:eastAsia="仿宋_GB2312" w:cs="宋体"/>
                <w:b/>
                <w:bCs/>
                <w:sz w:val="32"/>
                <w:szCs w:val="32"/>
              </w:rPr>
            </w:pPr>
            <w:r>
              <w:rPr>
                <w:rFonts w:hint="eastAsia" w:ascii="仿宋_GB2312" w:hAnsi="宋体" w:eastAsia="仿宋_GB2312" w:cs="宋体"/>
                <w:b/>
                <w:bCs/>
                <w:sz w:val="32"/>
                <w:szCs w:val="32"/>
              </w:rPr>
              <w:t>序号</w:t>
            </w:r>
          </w:p>
        </w:tc>
        <w:tc>
          <w:tcPr>
            <w:tcW w:w="3310" w:type="dxa"/>
            <w:shd w:val="clear" w:color="auto" w:fill="D7D7D7"/>
            <w:vAlign w:val="center"/>
          </w:tcPr>
          <w:p>
            <w:pPr>
              <w:jc w:val="center"/>
              <w:rPr>
                <w:rFonts w:ascii="仿宋_GB2312" w:hAnsi="宋体" w:eastAsia="仿宋_GB2312" w:cs="宋体"/>
                <w:b/>
                <w:bCs/>
                <w:sz w:val="32"/>
                <w:szCs w:val="32"/>
              </w:rPr>
            </w:pPr>
            <w:r>
              <w:rPr>
                <w:rFonts w:hint="eastAsia" w:ascii="仿宋_GB2312" w:hAnsi="宋体" w:eastAsia="仿宋_GB2312" w:cs="宋体"/>
                <w:b/>
                <w:bCs/>
                <w:sz w:val="32"/>
                <w:szCs w:val="32"/>
              </w:rPr>
              <w:t>系统所属单位</w:t>
            </w:r>
          </w:p>
        </w:tc>
        <w:tc>
          <w:tcPr>
            <w:tcW w:w="2552" w:type="dxa"/>
            <w:shd w:val="clear" w:color="auto" w:fill="D7D7D7"/>
            <w:vAlign w:val="center"/>
          </w:tcPr>
          <w:p>
            <w:pPr>
              <w:jc w:val="center"/>
              <w:rPr>
                <w:rFonts w:ascii="仿宋_GB2312" w:hAnsi="宋体" w:eastAsia="仿宋_GB2312" w:cs="宋体"/>
                <w:b/>
                <w:bCs/>
                <w:sz w:val="32"/>
                <w:szCs w:val="32"/>
              </w:rPr>
            </w:pPr>
            <w:r>
              <w:rPr>
                <w:rFonts w:hint="eastAsia" w:ascii="仿宋_GB2312" w:hAnsi="宋体" w:eastAsia="仿宋_GB2312" w:cs="宋体"/>
                <w:b/>
                <w:bCs/>
                <w:sz w:val="32"/>
                <w:szCs w:val="32"/>
              </w:rPr>
              <w:t>系统名称</w:t>
            </w:r>
          </w:p>
        </w:tc>
        <w:tc>
          <w:tcPr>
            <w:tcW w:w="1751" w:type="dxa"/>
            <w:shd w:val="clear" w:color="auto" w:fill="D7D7D7"/>
            <w:vAlign w:val="center"/>
          </w:tcPr>
          <w:p>
            <w:pPr>
              <w:jc w:val="center"/>
              <w:rPr>
                <w:rFonts w:ascii="仿宋_GB2312" w:hAnsi="宋体" w:eastAsia="仿宋_GB2312" w:cs="宋体"/>
                <w:b/>
                <w:bCs/>
                <w:sz w:val="32"/>
                <w:szCs w:val="32"/>
              </w:rPr>
            </w:pPr>
            <w:r>
              <w:rPr>
                <w:rFonts w:hint="eastAsia" w:ascii="仿宋_GB2312" w:hAnsi="宋体" w:eastAsia="仿宋_GB2312" w:cs="宋体"/>
                <w:b/>
                <w:bCs/>
                <w:sz w:val="32"/>
                <w:szCs w:val="32"/>
              </w:rPr>
              <w:t>系统级别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09" w:type="dxa"/>
            <w:vAlign w:val="center"/>
          </w:tcPr>
          <w:p>
            <w:pPr>
              <w:jc w:val="center"/>
              <w:rPr>
                <w:rFonts w:ascii="仿宋_GB2312" w:eastAsia="仿宋_GB2312"/>
                <w:sz w:val="28"/>
                <w:szCs w:val="28"/>
              </w:rPr>
            </w:pPr>
            <w:r>
              <w:rPr>
                <w:rFonts w:hint="eastAsia" w:ascii="仿宋_GB2312" w:eastAsia="仿宋_GB2312"/>
                <w:sz w:val="28"/>
                <w:szCs w:val="28"/>
              </w:rPr>
              <w:t>1</w:t>
            </w:r>
          </w:p>
        </w:tc>
        <w:tc>
          <w:tcPr>
            <w:tcW w:w="3310" w:type="dxa"/>
            <w:vAlign w:val="center"/>
          </w:tcPr>
          <w:p>
            <w:pPr>
              <w:jc w:val="center"/>
              <w:rPr>
                <w:rFonts w:hint="default" w:eastAsia="宋体" w:cs="Calibri"/>
                <w:color w:val="000000"/>
                <w:shd w:val="clear" w:color="auto" w:fill="FFFFFF"/>
                <w:lang w:val="en-US" w:eastAsia="zh-CN"/>
              </w:rPr>
            </w:pPr>
            <w:r>
              <w:rPr>
                <w:rFonts w:hint="eastAsia" w:cs="Calibri"/>
                <w:color w:val="000000"/>
                <w:shd w:val="clear" w:color="auto" w:fill="FFFFFF"/>
              </w:rPr>
              <w:t>宿州市</w:t>
            </w:r>
            <w:r>
              <w:rPr>
                <w:rFonts w:hint="eastAsia" w:cs="Calibri"/>
                <w:color w:val="000000"/>
                <w:shd w:val="clear" w:color="auto" w:fill="FFFFFF"/>
                <w:lang w:val="en-US" w:eastAsia="zh-CN"/>
              </w:rPr>
              <w:t>市场监督管理局</w:t>
            </w:r>
          </w:p>
        </w:tc>
        <w:tc>
          <w:tcPr>
            <w:tcW w:w="2552" w:type="dxa"/>
            <w:vAlign w:val="center"/>
          </w:tcPr>
          <w:p>
            <w:pPr>
              <w:jc w:val="center"/>
              <w:rPr>
                <w:rFonts w:cs="Calibri"/>
                <w:color w:val="000000"/>
                <w:shd w:val="clear" w:color="auto" w:fill="FFFFFF"/>
              </w:rPr>
            </w:pPr>
            <w:r>
              <w:rPr>
                <w:rFonts w:hint="eastAsia" w:cs="Calibri"/>
                <w:color w:val="000000"/>
                <w:shd w:val="clear" w:color="auto" w:fill="FFFFFF"/>
                <w:lang w:val="en-US" w:eastAsia="zh-CN"/>
              </w:rPr>
              <w:t>宿州市智慧市场监管系统</w:t>
            </w:r>
          </w:p>
        </w:tc>
        <w:tc>
          <w:tcPr>
            <w:tcW w:w="1751" w:type="dxa"/>
            <w:vAlign w:val="center"/>
          </w:tcPr>
          <w:p>
            <w:pPr>
              <w:jc w:val="center"/>
              <w:rPr>
                <w:rFonts w:cs="Calibri"/>
                <w:color w:val="000000"/>
                <w:shd w:val="clear" w:color="auto" w:fill="FFFFFF"/>
              </w:rPr>
            </w:pPr>
            <w:r>
              <w:rPr>
                <w:rFonts w:hint="eastAsia" w:cs="Calibri"/>
                <w:color w:val="000000"/>
                <w:shd w:val="clear" w:color="auto" w:fill="FFFFFF"/>
              </w:rPr>
              <w:t>三级</w:t>
            </w:r>
          </w:p>
        </w:tc>
      </w:tr>
    </w:tbl>
    <w:p>
      <w:pPr>
        <w:spacing w:before="156" w:beforeLines="50" w:after="156" w:afterLines="50" w:line="360" w:lineRule="auto"/>
        <w:ind w:firstLine="640" w:firstLineChars="200"/>
        <w:rPr>
          <w:rFonts w:hint="eastAsia" w:ascii="方正黑体_GBK" w:hAnsi="方正黑体_GBK" w:eastAsia="方正黑体_GBK" w:cs="方正黑体_GBK"/>
          <w:b w:val="0"/>
          <w:bCs w:val="0"/>
          <w:sz w:val="32"/>
          <w:szCs w:val="32"/>
        </w:rPr>
      </w:pPr>
      <w:r>
        <w:rPr>
          <w:rFonts w:hint="eastAsia" w:ascii="方正黑体_GBK" w:hAnsi="方正黑体_GBK" w:eastAsia="方正黑体_GBK" w:cs="方正黑体_GBK"/>
          <w:b w:val="0"/>
          <w:bCs w:val="0"/>
          <w:sz w:val="32"/>
          <w:szCs w:val="32"/>
          <w:lang w:eastAsia="zh-CN"/>
        </w:rPr>
        <w:t>二</w:t>
      </w:r>
      <w:r>
        <w:rPr>
          <w:rFonts w:hint="eastAsia" w:ascii="方正黑体_GBK" w:hAnsi="方正黑体_GBK" w:eastAsia="方正黑体_GBK" w:cs="方正黑体_GBK"/>
          <w:b w:val="0"/>
          <w:bCs w:val="0"/>
          <w:sz w:val="32"/>
          <w:szCs w:val="32"/>
        </w:rPr>
        <w:t>、技术要求</w:t>
      </w:r>
    </w:p>
    <w:p>
      <w:pPr>
        <w:adjustRightInd w:val="0"/>
        <w:snapToGrid w:val="0"/>
        <w:spacing w:line="592" w:lineRule="exact"/>
        <w:ind w:firstLine="643" w:firstLineChars="200"/>
        <w:rPr>
          <w:rFonts w:ascii="仿宋_GB2312" w:hAnsi="仿宋" w:eastAsia="仿宋_GB2312" w:cs="宋体"/>
          <w:b/>
          <w:bCs/>
          <w:sz w:val="32"/>
          <w:szCs w:val="32"/>
        </w:rPr>
      </w:pPr>
      <w:r>
        <w:rPr>
          <w:rFonts w:ascii="仿宋_GB2312" w:hAnsi="仿宋" w:eastAsia="仿宋_GB2312" w:cs="宋体"/>
          <w:b/>
          <w:bCs/>
          <w:sz w:val="32"/>
          <w:szCs w:val="32"/>
        </w:rPr>
        <w:t>(</w:t>
      </w:r>
      <w:r>
        <w:rPr>
          <w:rFonts w:hint="eastAsia" w:ascii="仿宋_GB2312" w:hAnsi="仿宋" w:eastAsia="仿宋_GB2312" w:cs="宋体"/>
          <w:b/>
          <w:bCs/>
          <w:sz w:val="32"/>
          <w:szCs w:val="32"/>
        </w:rPr>
        <w:t>一</w:t>
      </w:r>
      <w:r>
        <w:rPr>
          <w:rFonts w:ascii="仿宋_GB2312" w:hAnsi="仿宋" w:eastAsia="仿宋_GB2312" w:cs="宋体"/>
          <w:b/>
          <w:bCs/>
          <w:sz w:val="32"/>
          <w:szCs w:val="32"/>
        </w:rPr>
        <w:t>)</w:t>
      </w:r>
      <w:r>
        <w:rPr>
          <w:rFonts w:hint="eastAsia" w:ascii="仿宋_GB2312" w:hAnsi="仿宋" w:eastAsia="仿宋_GB2312" w:cs="宋体"/>
          <w:b/>
          <w:bCs/>
          <w:sz w:val="32"/>
          <w:szCs w:val="32"/>
        </w:rPr>
        <w:t>.测评依据</w:t>
      </w:r>
    </w:p>
    <w:p>
      <w:pPr>
        <w:spacing w:line="592" w:lineRule="exact"/>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《信息安全技术信息系统安全等级保护基本要求》GB/T 22239-2</w:t>
      </w:r>
      <w:r>
        <w:rPr>
          <w:rFonts w:cs="宋体" w:asciiTheme="minorEastAsia" w:hAnsiTheme="minorEastAsia" w:eastAsiaTheme="minorEastAsia"/>
          <w:sz w:val="24"/>
          <w:szCs w:val="24"/>
        </w:rPr>
        <w:t>019</w:t>
      </w:r>
    </w:p>
    <w:p>
      <w:pPr>
        <w:spacing w:line="592" w:lineRule="exact"/>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《信息安全技术信息系统安全等级保护测评要求》GB/T 28448-201</w:t>
      </w:r>
      <w:r>
        <w:rPr>
          <w:rFonts w:cs="宋体" w:asciiTheme="minorEastAsia" w:hAnsiTheme="minorEastAsia" w:eastAsiaTheme="minorEastAsia"/>
          <w:sz w:val="24"/>
          <w:szCs w:val="24"/>
        </w:rPr>
        <w:t>8</w:t>
      </w:r>
    </w:p>
    <w:p>
      <w:pPr>
        <w:spacing w:line="592" w:lineRule="exact"/>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《信息安全技术信息系统安全等级保护测评过程指南》GB/T 28449-201</w:t>
      </w:r>
      <w:r>
        <w:rPr>
          <w:rFonts w:cs="宋体" w:asciiTheme="minorEastAsia" w:hAnsiTheme="minorEastAsia" w:eastAsiaTheme="minorEastAsia"/>
          <w:sz w:val="24"/>
          <w:szCs w:val="24"/>
        </w:rPr>
        <w:t>9</w:t>
      </w:r>
    </w:p>
    <w:p>
      <w:pPr>
        <w:spacing w:line="592" w:lineRule="exact"/>
        <w:ind w:firstLine="643" w:firstLineChars="200"/>
        <w:rPr>
          <w:rFonts w:ascii="仿宋_GB2312" w:hAnsi="仿宋" w:eastAsia="仿宋_GB2312" w:cs="宋体"/>
          <w:b/>
          <w:sz w:val="32"/>
          <w:szCs w:val="32"/>
        </w:rPr>
      </w:pPr>
      <w:r>
        <w:rPr>
          <w:rFonts w:ascii="仿宋_GB2312" w:hAnsi="仿宋" w:eastAsia="仿宋_GB2312" w:cs="宋体"/>
          <w:b/>
          <w:sz w:val="32"/>
          <w:szCs w:val="32"/>
        </w:rPr>
        <w:t>(</w:t>
      </w:r>
      <w:r>
        <w:rPr>
          <w:rFonts w:hint="eastAsia" w:ascii="仿宋_GB2312" w:hAnsi="仿宋" w:eastAsia="仿宋_GB2312" w:cs="宋体"/>
          <w:b/>
          <w:sz w:val="32"/>
          <w:szCs w:val="32"/>
        </w:rPr>
        <w:t>二</w:t>
      </w:r>
      <w:r>
        <w:rPr>
          <w:rFonts w:ascii="仿宋_GB2312" w:hAnsi="仿宋" w:eastAsia="仿宋_GB2312" w:cs="宋体"/>
          <w:b/>
          <w:sz w:val="32"/>
          <w:szCs w:val="32"/>
        </w:rPr>
        <w:t>)</w:t>
      </w:r>
      <w:r>
        <w:rPr>
          <w:rFonts w:hint="eastAsia" w:ascii="仿宋_GB2312" w:hAnsi="仿宋" w:eastAsia="仿宋_GB2312" w:cs="宋体"/>
          <w:b/>
          <w:sz w:val="32"/>
          <w:szCs w:val="32"/>
        </w:rPr>
        <w:t>.测评原则</w:t>
      </w:r>
    </w:p>
    <w:p>
      <w:pPr>
        <w:spacing w:line="592" w:lineRule="exact"/>
        <w:ind w:firstLine="480" w:firstLineChars="200"/>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（1）保密原则：对测评的过程数据和结果数据严格保密，未经授权不得泄露给任何单位和个人，不得利用此数据进行任何侵害招标人的行为，否则招标人有权追究投标人的责任。</w:t>
      </w:r>
    </w:p>
    <w:p>
      <w:pPr>
        <w:spacing w:line="592" w:lineRule="exact"/>
        <w:ind w:firstLine="480" w:firstLineChars="200"/>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（2）标准性原则：测评方案的设计与实施应依据国家等级保护的相关标准进行。</w:t>
      </w:r>
    </w:p>
    <w:p>
      <w:pPr>
        <w:spacing w:line="592" w:lineRule="exact"/>
        <w:ind w:firstLine="480" w:firstLineChars="200"/>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（3）规范性原则：投标人的工作中的过程和文档，具有很好的规范性，可以便于项目的跟踪和控制。</w:t>
      </w:r>
    </w:p>
    <w:p>
      <w:pPr>
        <w:spacing w:line="592" w:lineRule="exact"/>
        <w:ind w:firstLine="480" w:firstLineChars="200"/>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（4）可控性原则：测评服务的进度要跟上进度表的安排，保证招标人对于测评工作的可控性。</w:t>
      </w:r>
    </w:p>
    <w:p>
      <w:pPr>
        <w:spacing w:line="592" w:lineRule="exact"/>
        <w:ind w:firstLine="480" w:firstLineChars="200"/>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（5）整体性原则：测评的范围和内容应当整体全面，包括国家等级保护相关要求涉及的各个层面。</w:t>
      </w:r>
    </w:p>
    <w:p>
      <w:pPr>
        <w:spacing w:line="592" w:lineRule="exact"/>
        <w:ind w:firstLine="480" w:firstLineChars="200"/>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（6）最小影响原则：测评工作应尽可能小的影响系统和网络，并在可控范围内；测评工作不能对现有信息系统的正常运行、业务的正常开展产生任何影响。</w:t>
      </w:r>
    </w:p>
    <w:p>
      <w:pPr>
        <w:spacing w:line="592" w:lineRule="exact"/>
        <w:ind w:firstLine="643" w:firstLineChars="200"/>
        <w:rPr>
          <w:rFonts w:ascii="仿宋_GB2312" w:hAnsi="仿宋" w:eastAsia="仿宋_GB2312" w:cs="宋体"/>
          <w:b/>
          <w:sz w:val="32"/>
          <w:szCs w:val="32"/>
        </w:rPr>
      </w:pPr>
      <w:r>
        <w:rPr>
          <w:rFonts w:ascii="仿宋_GB2312" w:hAnsi="仿宋" w:eastAsia="仿宋_GB2312" w:cs="宋体"/>
          <w:b/>
          <w:sz w:val="32"/>
          <w:szCs w:val="32"/>
        </w:rPr>
        <w:t>(</w:t>
      </w:r>
      <w:r>
        <w:rPr>
          <w:rFonts w:hint="eastAsia" w:ascii="仿宋_GB2312" w:hAnsi="仿宋" w:eastAsia="仿宋_GB2312" w:cs="宋体"/>
          <w:b/>
          <w:sz w:val="32"/>
          <w:szCs w:val="32"/>
        </w:rPr>
        <w:t>三</w:t>
      </w:r>
      <w:r>
        <w:rPr>
          <w:rFonts w:ascii="仿宋_GB2312" w:hAnsi="仿宋" w:eastAsia="仿宋_GB2312" w:cs="宋体"/>
          <w:b/>
          <w:sz w:val="32"/>
          <w:szCs w:val="32"/>
        </w:rPr>
        <w:t>)</w:t>
      </w:r>
      <w:r>
        <w:rPr>
          <w:rFonts w:hint="eastAsia" w:ascii="仿宋_GB2312" w:hAnsi="仿宋" w:eastAsia="仿宋_GB2312" w:cs="宋体"/>
          <w:b/>
          <w:sz w:val="32"/>
          <w:szCs w:val="32"/>
        </w:rPr>
        <w:t>.测评过程</w:t>
      </w:r>
    </w:p>
    <w:p>
      <w:pPr>
        <w:spacing w:line="592" w:lineRule="exact"/>
        <w:ind w:firstLine="643" w:firstLineChars="200"/>
        <w:rPr>
          <w:rFonts w:ascii="仿宋_GB2312" w:hAnsi="仿宋" w:eastAsia="仿宋_GB2312" w:cs="仿宋"/>
          <w:b/>
          <w:sz w:val="32"/>
          <w:szCs w:val="32"/>
        </w:rPr>
      </w:pPr>
      <w:r>
        <w:rPr>
          <w:rFonts w:hint="eastAsia" w:ascii="仿宋_GB2312" w:hAnsi="仿宋" w:eastAsia="仿宋_GB2312" w:cs="仿宋"/>
          <w:b/>
          <w:sz w:val="32"/>
          <w:szCs w:val="32"/>
        </w:rPr>
        <w:t>（1）单元测评</w:t>
      </w:r>
    </w:p>
    <w:p>
      <w:pPr>
        <w:spacing w:line="592" w:lineRule="exact"/>
        <w:ind w:firstLine="480" w:firstLineChars="200"/>
        <w:rPr>
          <w:rFonts w:cs="仿宋" w:asciiTheme="minorEastAsia" w:hAnsiTheme="minorEastAsia" w:eastAsiaTheme="minorEastAsia"/>
          <w:bCs/>
          <w:sz w:val="24"/>
          <w:szCs w:val="24"/>
        </w:rPr>
      </w:pPr>
      <w:r>
        <w:rPr>
          <w:rFonts w:hint="eastAsia" w:cs="仿宋" w:asciiTheme="minorEastAsia" w:hAnsiTheme="minorEastAsia" w:eastAsiaTheme="minorEastAsia"/>
          <w:bCs/>
          <w:sz w:val="24"/>
          <w:szCs w:val="24"/>
        </w:rPr>
        <w:t>按照等级保护基本要求的三级测评指标，逐项开展单元测评工作。</w:t>
      </w:r>
    </w:p>
    <w:p>
      <w:pPr>
        <w:spacing w:line="592" w:lineRule="exact"/>
        <w:ind w:firstLine="643" w:firstLineChars="200"/>
        <w:rPr>
          <w:rFonts w:ascii="仿宋_GB2312" w:hAnsi="仿宋" w:eastAsia="仿宋_GB2312" w:cs="仿宋"/>
          <w:bCs/>
          <w:sz w:val="32"/>
          <w:szCs w:val="32"/>
        </w:rPr>
      </w:pPr>
      <w:r>
        <w:rPr>
          <w:rFonts w:hint="eastAsia" w:ascii="仿宋_GB2312" w:hAnsi="仿宋" w:eastAsia="仿宋_GB2312" w:cs="仿宋"/>
          <w:b/>
          <w:sz w:val="32"/>
          <w:szCs w:val="32"/>
        </w:rPr>
        <w:t>（2）整体测评与风险分析</w:t>
      </w:r>
    </w:p>
    <w:p>
      <w:pPr>
        <w:spacing w:line="592" w:lineRule="exact"/>
        <w:ind w:firstLine="480" w:firstLineChars="200"/>
        <w:rPr>
          <w:rFonts w:cs="仿宋" w:asciiTheme="minorEastAsia" w:hAnsiTheme="minorEastAsia" w:eastAsiaTheme="minorEastAsia"/>
          <w:bCs/>
          <w:sz w:val="24"/>
          <w:szCs w:val="24"/>
        </w:rPr>
      </w:pPr>
      <w:r>
        <w:rPr>
          <w:rFonts w:hint="eastAsia" w:cs="仿宋" w:asciiTheme="minorEastAsia" w:hAnsiTheme="minorEastAsia" w:eastAsiaTheme="minorEastAsia"/>
          <w:bCs/>
          <w:sz w:val="24"/>
          <w:szCs w:val="24"/>
        </w:rPr>
        <w:t>针对单项测评结果的不符合项，采取逐条判定的方法，从安全控制间、层面间和区域间出发考虑，给出整体测评的具体结果，并对系统结构进行整体安全测评。</w:t>
      </w:r>
    </w:p>
    <w:p>
      <w:pPr>
        <w:spacing w:line="592" w:lineRule="exact"/>
        <w:ind w:firstLine="480" w:firstLineChars="200"/>
        <w:rPr>
          <w:rFonts w:cs="仿宋" w:asciiTheme="minorEastAsia" w:hAnsiTheme="minorEastAsia" w:eastAsiaTheme="minorEastAsia"/>
          <w:bCs/>
          <w:sz w:val="24"/>
          <w:szCs w:val="24"/>
        </w:rPr>
      </w:pPr>
      <w:r>
        <w:rPr>
          <w:rFonts w:hint="eastAsia" w:cs="仿宋" w:asciiTheme="minorEastAsia" w:hAnsiTheme="minorEastAsia" w:eastAsiaTheme="minorEastAsia"/>
          <w:bCs/>
          <w:sz w:val="24"/>
          <w:szCs w:val="24"/>
        </w:rPr>
        <w:t>依据等级保护的相关规范和标准，采用风险分析的方法分析等级测评结果中存在的安全问题可能对被测系统安全造成的影响。</w:t>
      </w:r>
    </w:p>
    <w:p>
      <w:pPr>
        <w:spacing w:line="592" w:lineRule="exact"/>
        <w:ind w:firstLine="643" w:firstLineChars="200"/>
        <w:rPr>
          <w:rFonts w:ascii="仿宋_GB2312" w:hAnsi="仿宋" w:eastAsia="仿宋_GB2312" w:cs="仿宋"/>
          <w:b/>
          <w:sz w:val="32"/>
          <w:szCs w:val="32"/>
        </w:rPr>
      </w:pPr>
      <w:r>
        <w:rPr>
          <w:rFonts w:hint="eastAsia" w:ascii="仿宋_GB2312" w:hAnsi="仿宋" w:eastAsia="仿宋_GB2312" w:cs="仿宋"/>
          <w:b/>
          <w:sz w:val="32"/>
          <w:szCs w:val="32"/>
        </w:rPr>
        <w:t>（3）测评报告编制</w:t>
      </w:r>
    </w:p>
    <w:p>
      <w:pPr>
        <w:spacing w:line="592" w:lineRule="exact"/>
        <w:ind w:firstLine="480" w:firstLineChars="200"/>
        <w:rPr>
          <w:rFonts w:cs="仿宋" w:asciiTheme="minorEastAsia" w:hAnsiTheme="minorEastAsia" w:eastAsiaTheme="minorEastAsia"/>
          <w:bCs/>
          <w:sz w:val="24"/>
          <w:szCs w:val="24"/>
        </w:rPr>
      </w:pPr>
      <w:r>
        <w:rPr>
          <w:rFonts w:hint="eastAsia" w:cs="仿宋" w:asciiTheme="minorEastAsia" w:hAnsiTheme="minorEastAsia" w:eastAsiaTheme="minorEastAsia"/>
          <w:bCs/>
          <w:sz w:val="24"/>
          <w:szCs w:val="24"/>
        </w:rPr>
        <w:t>完成上述测评工作，出具符合公安机关要求的（年度）保护等级测评报告。</w:t>
      </w:r>
    </w:p>
    <w:p>
      <w:pPr>
        <w:spacing w:line="592" w:lineRule="exact"/>
        <w:ind w:firstLine="640" w:firstLineChars="200"/>
        <w:rPr>
          <w:rFonts w:hint="eastAsia" w:ascii="方正黑体_GBK" w:hAnsi="方正黑体_GBK" w:eastAsia="方正黑体_GBK" w:cs="方正黑体_GBK"/>
          <w:b w:val="0"/>
          <w:bCs/>
          <w:sz w:val="32"/>
          <w:szCs w:val="32"/>
        </w:rPr>
      </w:pPr>
      <w:r>
        <w:rPr>
          <w:rFonts w:hint="eastAsia" w:ascii="方正黑体_GBK" w:hAnsi="方正黑体_GBK" w:eastAsia="方正黑体_GBK" w:cs="方正黑体_GBK"/>
          <w:b w:val="0"/>
          <w:bCs/>
          <w:sz w:val="32"/>
          <w:szCs w:val="32"/>
          <w:lang w:eastAsia="zh-CN"/>
        </w:rPr>
        <w:t>三</w:t>
      </w:r>
      <w:r>
        <w:rPr>
          <w:rFonts w:hint="eastAsia" w:ascii="方正黑体_GBK" w:hAnsi="方正黑体_GBK" w:eastAsia="方正黑体_GBK" w:cs="方正黑体_GBK"/>
          <w:b w:val="0"/>
          <w:bCs/>
          <w:sz w:val="32"/>
          <w:szCs w:val="32"/>
        </w:rPr>
        <w:t>、售后服务</w:t>
      </w:r>
    </w:p>
    <w:p>
      <w:pPr>
        <w:spacing w:line="592" w:lineRule="exact"/>
        <w:ind w:firstLine="480" w:firstLineChars="200"/>
        <w:rPr>
          <w:rFonts w:cs="仿宋" w:asciiTheme="minorEastAsia" w:hAnsiTheme="minorEastAsia" w:eastAsiaTheme="minorEastAsia"/>
          <w:bCs/>
          <w:sz w:val="24"/>
          <w:szCs w:val="24"/>
        </w:rPr>
      </w:pPr>
      <w:r>
        <w:rPr>
          <w:rFonts w:hint="eastAsia" w:cs="仿宋" w:asciiTheme="minorEastAsia" w:hAnsiTheme="minorEastAsia" w:eastAsiaTheme="minorEastAsia"/>
          <w:bCs/>
          <w:sz w:val="24"/>
          <w:szCs w:val="24"/>
        </w:rPr>
        <w:t>售后服务内容主要包括以下几个方面：</w:t>
      </w:r>
    </w:p>
    <w:p>
      <w:pPr>
        <w:spacing w:line="592" w:lineRule="exact"/>
        <w:ind w:firstLine="480" w:firstLineChars="200"/>
        <w:rPr>
          <w:rFonts w:cs="仿宋" w:asciiTheme="minorEastAsia" w:hAnsiTheme="minorEastAsia" w:eastAsiaTheme="minorEastAsia"/>
          <w:bCs/>
          <w:sz w:val="24"/>
          <w:szCs w:val="24"/>
        </w:rPr>
      </w:pPr>
      <w:r>
        <w:rPr>
          <w:rFonts w:hint="eastAsia" w:cs="仿宋" w:asciiTheme="minorEastAsia" w:hAnsiTheme="minorEastAsia" w:eastAsiaTheme="minorEastAsia"/>
          <w:bCs/>
          <w:sz w:val="24"/>
          <w:szCs w:val="24"/>
        </w:rPr>
        <w:t>（1）管理制度完善</w:t>
      </w:r>
    </w:p>
    <w:p>
      <w:pPr>
        <w:spacing w:line="592" w:lineRule="exact"/>
        <w:ind w:firstLine="480" w:firstLineChars="200"/>
        <w:rPr>
          <w:rFonts w:cs="仿宋" w:asciiTheme="minorEastAsia" w:hAnsiTheme="minorEastAsia" w:eastAsiaTheme="minorEastAsia"/>
          <w:bCs/>
          <w:sz w:val="24"/>
          <w:szCs w:val="24"/>
        </w:rPr>
      </w:pPr>
      <w:r>
        <w:rPr>
          <w:rFonts w:hint="eastAsia" w:cs="仿宋" w:asciiTheme="minorEastAsia" w:hAnsiTheme="minorEastAsia" w:eastAsiaTheme="minorEastAsia"/>
          <w:bCs/>
          <w:sz w:val="24"/>
          <w:szCs w:val="24"/>
        </w:rPr>
        <w:t>根据差距分析报告，分别从人员安全管理、安全管理机构、安全管理制度、系统建设管理以及系统运维管理四个方面进行梳理，协助招标方制定适宜的管理制度体系文件。</w:t>
      </w:r>
    </w:p>
    <w:p>
      <w:pPr>
        <w:spacing w:line="592" w:lineRule="exact"/>
        <w:ind w:firstLine="480" w:firstLineChars="200"/>
        <w:rPr>
          <w:rFonts w:cs="仿宋" w:asciiTheme="minorEastAsia" w:hAnsiTheme="minorEastAsia" w:eastAsiaTheme="minorEastAsia"/>
          <w:bCs/>
          <w:sz w:val="24"/>
          <w:szCs w:val="24"/>
        </w:rPr>
      </w:pPr>
      <w:r>
        <w:rPr>
          <w:rFonts w:hint="eastAsia" w:cs="仿宋" w:asciiTheme="minorEastAsia" w:hAnsiTheme="minorEastAsia" w:eastAsiaTheme="minorEastAsia"/>
          <w:bCs/>
          <w:sz w:val="24"/>
          <w:szCs w:val="24"/>
        </w:rPr>
        <w:t>（2）技术培训</w:t>
      </w:r>
    </w:p>
    <w:p>
      <w:pPr>
        <w:spacing w:line="592" w:lineRule="exact"/>
        <w:ind w:firstLine="480" w:firstLineChars="200"/>
        <w:rPr>
          <w:rFonts w:hint="eastAsia" w:cs="仿宋" w:asciiTheme="minorEastAsia" w:hAnsiTheme="minorEastAsia" w:eastAsiaTheme="minorEastAsia"/>
          <w:bCs/>
          <w:sz w:val="24"/>
          <w:szCs w:val="24"/>
          <w:lang w:val="en-US" w:eastAsia="zh-CN"/>
        </w:rPr>
      </w:pPr>
      <w:r>
        <w:rPr>
          <w:rFonts w:hint="eastAsia" w:cs="仿宋" w:asciiTheme="minorEastAsia" w:hAnsiTheme="minorEastAsia" w:eastAsiaTheme="minorEastAsia"/>
          <w:bCs/>
          <w:sz w:val="24"/>
          <w:szCs w:val="24"/>
          <w:lang w:val="en-US" w:eastAsia="zh-CN"/>
        </w:rPr>
        <w:t>测评结束后，需要为采购方提供不少于2次的信息安全技术培训，确保管理人员和技术人员掌握关于信息系统等级保护相关规范、信息安全策略、信息保密制度，信息安全管理制度和相关流程等。</w:t>
      </w:r>
    </w:p>
    <w:p>
      <w:pPr>
        <w:spacing w:line="592" w:lineRule="exact"/>
        <w:ind w:firstLine="480" w:firstLineChars="200"/>
        <w:rPr>
          <w:rFonts w:hint="eastAsia" w:cs="仿宋" w:asciiTheme="minorEastAsia" w:hAnsiTheme="minorEastAsia" w:eastAsiaTheme="minorEastAsia"/>
          <w:bCs/>
          <w:sz w:val="24"/>
          <w:szCs w:val="24"/>
          <w:lang w:val="en-US" w:eastAsia="zh-CN"/>
        </w:rPr>
      </w:pPr>
      <w:r>
        <w:rPr>
          <w:rFonts w:hint="eastAsia" w:cs="仿宋" w:asciiTheme="minorEastAsia" w:hAnsiTheme="minorEastAsia" w:eastAsiaTheme="minorEastAsia"/>
          <w:bCs/>
          <w:sz w:val="24"/>
          <w:szCs w:val="24"/>
          <w:lang w:val="en-US" w:eastAsia="zh-CN"/>
        </w:rPr>
        <w:t>信息安全培训方式分为以下几种：</w:t>
      </w:r>
    </w:p>
    <w:p>
      <w:pPr>
        <w:spacing w:line="592" w:lineRule="exact"/>
        <w:ind w:firstLine="480" w:firstLineChars="200"/>
        <w:rPr>
          <w:rFonts w:hint="eastAsia" w:cs="仿宋" w:asciiTheme="minorEastAsia" w:hAnsiTheme="minorEastAsia" w:eastAsiaTheme="minorEastAsia"/>
          <w:bCs/>
          <w:sz w:val="24"/>
          <w:szCs w:val="24"/>
          <w:lang w:val="en-US" w:eastAsia="zh-CN"/>
        </w:rPr>
      </w:pPr>
      <w:r>
        <w:rPr>
          <w:rFonts w:hint="eastAsia" w:cs="仿宋" w:asciiTheme="minorEastAsia" w:hAnsiTheme="minorEastAsia" w:eastAsiaTheme="minorEastAsia"/>
          <w:bCs/>
          <w:sz w:val="24"/>
          <w:szCs w:val="24"/>
          <w:lang w:val="en-US" w:eastAsia="zh-CN"/>
        </w:rPr>
        <w:t>线下培训：（不少于一次）为集中授课培训。由中标方安排资深信息安全人员，对采购方人员讲解信息安全相关规范、流程、技术等方面的知识。</w:t>
      </w:r>
    </w:p>
    <w:p>
      <w:pPr>
        <w:spacing w:line="592" w:lineRule="exact"/>
        <w:ind w:firstLine="480" w:firstLineChars="200"/>
        <w:rPr>
          <w:rFonts w:hint="eastAsia" w:cs="仿宋" w:asciiTheme="minorEastAsia" w:hAnsiTheme="minorEastAsia" w:eastAsiaTheme="minorEastAsia"/>
          <w:bCs/>
          <w:sz w:val="24"/>
          <w:szCs w:val="24"/>
          <w:lang w:val="en-US" w:eastAsia="zh-CN"/>
        </w:rPr>
      </w:pPr>
      <w:r>
        <w:rPr>
          <w:rFonts w:hint="eastAsia" w:cs="仿宋" w:asciiTheme="minorEastAsia" w:hAnsiTheme="minorEastAsia" w:eastAsiaTheme="minorEastAsia"/>
          <w:bCs/>
          <w:sz w:val="24"/>
          <w:szCs w:val="24"/>
          <w:lang w:val="en-US" w:eastAsia="zh-CN"/>
        </w:rPr>
        <w:t>线上培训：（采购方根据需要可随时开展线上培训）通过在QQ及时通讯工具，对使用人员进行培训。可以采用远程方式，演示系统操作步骤。</w:t>
      </w:r>
    </w:p>
    <w:p>
      <w:pPr>
        <w:spacing w:line="592" w:lineRule="exact"/>
        <w:ind w:firstLine="480" w:firstLineChars="200"/>
        <w:rPr>
          <w:rFonts w:hint="eastAsia" w:cs="仿宋" w:asciiTheme="minorEastAsia" w:hAnsiTheme="minorEastAsia" w:eastAsiaTheme="minorEastAsia"/>
          <w:bCs/>
          <w:sz w:val="24"/>
          <w:szCs w:val="24"/>
          <w:lang w:val="en-US" w:eastAsia="zh-CN"/>
        </w:rPr>
      </w:pPr>
      <w:r>
        <w:rPr>
          <w:rFonts w:hint="eastAsia" w:cs="仿宋" w:asciiTheme="minorEastAsia" w:hAnsiTheme="minorEastAsia" w:eastAsiaTheme="minorEastAsia"/>
          <w:bCs/>
          <w:sz w:val="24"/>
          <w:szCs w:val="24"/>
          <w:lang w:val="en-US" w:eastAsia="zh-CN"/>
        </w:rPr>
        <w:t>即时通讯方式培训：对于一些情况较为紧急的使用问题，使用电话方式、微信或其他即时通讯，对使用人员进行系统讲解。</w:t>
      </w:r>
    </w:p>
    <w:p>
      <w:pPr>
        <w:spacing w:line="592" w:lineRule="exact"/>
        <w:ind w:firstLine="480" w:firstLineChars="200"/>
        <w:rPr>
          <w:rFonts w:cs="仿宋" w:asciiTheme="minorEastAsia" w:hAnsiTheme="minorEastAsia" w:eastAsiaTheme="minorEastAsia"/>
          <w:bCs/>
          <w:sz w:val="24"/>
          <w:szCs w:val="24"/>
        </w:rPr>
      </w:pPr>
      <w:r>
        <w:rPr>
          <w:rFonts w:hint="eastAsia" w:ascii="宋体" w:hAnsi="宋体"/>
          <w:sz w:val="24"/>
          <w:szCs w:val="24"/>
        </w:rPr>
        <w:t>培训资料：提供培训课件相关资料。</w:t>
      </w:r>
    </w:p>
    <w:p>
      <w:pPr>
        <w:spacing w:line="592" w:lineRule="exact"/>
        <w:ind w:firstLine="480" w:firstLineChars="200"/>
        <w:rPr>
          <w:rFonts w:cs="仿宋" w:asciiTheme="minorEastAsia" w:hAnsiTheme="minorEastAsia" w:eastAsiaTheme="minorEastAsia"/>
          <w:bCs/>
          <w:sz w:val="24"/>
          <w:szCs w:val="24"/>
        </w:rPr>
      </w:pPr>
      <w:r>
        <w:rPr>
          <w:rFonts w:hint="eastAsia" w:cs="仿宋" w:asciiTheme="minorEastAsia" w:hAnsiTheme="minorEastAsia" w:eastAsiaTheme="minorEastAsia"/>
          <w:bCs/>
          <w:sz w:val="24"/>
          <w:szCs w:val="24"/>
        </w:rPr>
        <w:t>（3）安全应急</w:t>
      </w:r>
    </w:p>
    <w:p>
      <w:pPr>
        <w:spacing w:line="592" w:lineRule="exact"/>
        <w:ind w:firstLine="480" w:firstLineChars="200"/>
        <w:rPr>
          <w:rFonts w:cs="仿宋" w:asciiTheme="minorEastAsia" w:hAnsiTheme="minorEastAsia" w:eastAsiaTheme="minorEastAsia"/>
          <w:bCs/>
          <w:sz w:val="24"/>
          <w:szCs w:val="24"/>
        </w:rPr>
      </w:pPr>
      <w:r>
        <w:rPr>
          <w:rFonts w:hint="eastAsia" w:cs="仿宋" w:asciiTheme="minorEastAsia" w:hAnsiTheme="minorEastAsia" w:eastAsiaTheme="minorEastAsia"/>
          <w:bCs/>
          <w:sz w:val="24"/>
          <w:szCs w:val="24"/>
        </w:rPr>
        <w:t>要求中标后为招标方提供日常安全技术咨询服务，必要时提供远程或现场指导。</w:t>
      </w:r>
    </w:p>
    <w:p>
      <w:pPr>
        <w:ind w:firstLine="640" w:firstLineChars="200"/>
        <w:rPr>
          <w:rFonts w:hint="eastAsia" w:ascii="方正黑体_GBK" w:hAnsi="方正黑体_GBK" w:eastAsia="方正黑体_GBK" w:cs="方正黑体_GBK"/>
          <w:b w:val="0"/>
          <w:bCs w:val="0"/>
          <w:sz w:val="32"/>
          <w:szCs w:val="32"/>
        </w:rPr>
      </w:pPr>
      <w:r>
        <w:rPr>
          <w:rFonts w:hint="eastAsia" w:ascii="方正黑体_GBK" w:hAnsi="方正黑体_GBK" w:eastAsia="方正黑体_GBK" w:cs="方正黑体_GBK"/>
          <w:b w:val="0"/>
          <w:bCs w:val="0"/>
          <w:sz w:val="32"/>
          <w:szCs w:val="32"/>
          <w:lang w:eastAsia="zh-CN"/>
        </w:rPr>
        <w:t>四</w:t>
      </w:r>
      <w:r>
        <w:rPr>
          <w:rFonts w:hint="eastAsia" w:ascii="方正黑体_GBK" w:hAnsi="方正黑体_GBK" w:eastAsia="方正黑体_GBK" w:cs="方正黑体_GBK"/>
          <w:b w:val="0"/>
          <w:bCs w:val="0"/>
          <w:sz w:val="32"/>
          <w:szCs w:val="32"/>
        </w:rPr>
        <w:t>、其他要求</w:t>
      </w:r>
    </w:p>
    <w:p>
      <w:pPr>
        <w:spacing w:line="360" w:lineRule="auto"/>
        <w:ind w:firstLine="480" w:firstLineChars="200"/>
        <w:rPr>
          <w:rFonts w:cs="仿宋" w:asciiTheme="minorEastAsia" w:hAnsiTheme="minorEastAsia" w:eastAsiaTheme="minorEastAsia"/>
          <w:bCs/>
          <w:sz w:val="24"/>
          <w:szCs w:val="24"/>
        </w:rPr>
      </w:pPr>
      <w:r>
        <w:rPr>
          <w:rFonts w:hint="eastAsia" w:cs="仿宋" w:asciiTheme="minorEastAsia" w:hAnsiTheme="minorEastAsia" w:eastAsiaTheme="minorEastAsia"/>
          <w:bCs/>
          <w:sz w:val="24"/>
          <w:szCs w:val="24"/>
        </w:rPr>
        <w:t>（1）本项目一次性报价，报价时应充分考虑人员费用、培训费及项目实施中的其他价格因素，投标报价包括采购、运输、人工、安装、调试、售后服务、税费等所有费用，漏报视为自动让利。</w:t>
      </w:r>
    </w:p>
    <w:p>
      <w:pPr>
        <w:spacing w:line="360" w:lineRule="auto"/>
        <w:ind w:firstLine="480" w:firstLineChars="200"/>
        <w:rPr>
          <w:rFonts w:cs="仿宋" w:asciiTheme="minorEastAsia" w:hAnsiTheme="minorEastAsia" w:eastAsiaTheme="minorEastAsia"/>
          <w:bCs/>
          <w:sz w:val="24"/>
          <w:szCs w:val="24"/>
        </w:rPr>
      </w:pPr>
      <w:r>
        <w:rPr>
          <w:rFonts w:hint="eastAsia" w:cs="仿宋" w:asciiTheme="minorEastAsia" w:hAnsiTheme="minorEastAsia" w:eastAsiaTheme="minorEastAsia"/>
          <w:bCs/>
          <w:sz w:val="24"/>
          <w:szCs w:val="24"/>
        </w:rPr>
        <w:t>（2）投标人中标后，服务不能满足招标文件要求的，采购人有权取消中标人资格或合同，不予退还履约保证金，并按有关规定进行处理。</w:t>
      </w:r>
    </w:p>
    <w:p>
      <w:pPr>
        <w:spacing w:line="360" w:lineRule="auto"/>
        <w:ind w:firstLine="480" w:firstLineChars="200"/>
        <w:rPr>
          <w:rFonts w:cs="仿宋" w:asciiTheme="minorEastAsia" w:hAnsiTheme="minorEastAsia" w:eastAsiaTheme="minorEastAsia"/>
          <w:bCs/>
          <w:sz w:val="24"/>
          <w:szCs w:val="24"/>
        </w:rPr>
      </w:pPr>
      <w:r>
        <w:rPr>
          <w:rFonts w:hint="eastAsia" w:cs="仿宋" w:asciiTheme="minorEastAsia" w:hAnsiTheme="minorEastAsia" w:eastAsiaTheme="minorEastAsia"/>
          <w:bCs/>
          <w:sz w:val="24"/>
          <w:szCs w:val="24"/>
        </w:rPr>
        <w:t>（3）违约责任问题，合同执行中若发生纠纷由采购人和中标人双方协商解决，协商不成通过采购人所在地仲裁或诉讼解决。</w:t>
      </w:r>
    </w:p>
    <w:p>
      <w:pPr>
        <w:spacing w:line="360" w:lineRule="auto"/>
        <w:ind w:firstLine="480" w:firstLineChars="200"/>
        <w:rPr>
          <w:rFonts w:cs="仿宋" w:asciiTheme="minorEastAsia" w:hAnsiTheme="minorEastAsia" w:eastAsiaTheme="minorEastAsia"/>
          <w:bCs/>
          <w:sz w:val="24"/>
          <w:szCs w:val="24"/>
        </w:rPr>
      </w:pPr>
      <w:r>
        <w:rPr>
          <w:rFonts w:hint="eastAsia" w:cs="仿宋" w:asciiTheme="minorEastAsia" w:hAnsiTheme="minorEastAsia" w:eastAsiaTheme="minorEastAsia"/>
          <w:bCs/>
          <w:sz w:val="24"/>
          <w:szCs w:val="24"/>
        </w:rPr>
        <w:t>（4）遵守采购人纪律，注意保密。</w:t>
      </w:r>
    </w:p>
    <w:p>
      <w:pPr>
        <w:spacing w:line="360" w:lineRule="auto"/>
        <w:ind w:firstLine="480" w:firstLineChars="200"/>
        <w:rPr>
          <w:rFonts w:cs="仿宋" w:asciiTheme="minorEastAsia" w:hAnsiTheme="minorEastAsia" w:eastAsiaTheme="minorEastAsia"/>
          <w:bCs/>
          <w:sz w:val="24"/>
          <w:szCs w:val="24"/>
        </w:rPr>
      </w:pPr>
      <w:r>
        <w:rPr>
          <w:rFonts w:hint="eastAsia" w:cs="仿宋" w:asciiTheme="minorEastAsia" w:hAnsiTheme="minorEastAsia" w:eastAsiaTheme="minorEastAsia"/>
          <w:bCs/>
          <w:sz w:val="24"/>
          <w:szCs w:val="24"/>
        </w:rPr>
        <w:t>（5）知识产权：中标人保证对其出售的标的物享有合法的权利，中标人应保证其所出售的标的物没有侵犯任何第三方的知识产权和商业秘密等权利。</w:t>
      </w:r>
    </w:p>
    <w:p>
      <w:pPr>
        <w:spacing w:line="360" w:lineRule="auto"/>
        <w:ind w:firstLine="480" w:firstLineChars="200"/>
        <w:rPr>
          <w:rFonts w:cs="仿宋" w:asciiTheme="minorEastAsia" w:hAnsiTheme="minorEastAsia" w:eastAsiaTheme="minorEastAsia"/>
          <w:bCs/>
          <w:sz w:val="24"/>
          <w:szCs w:val="24"/>
        </w:rPr>
      </w:pPr>
      <w:r>
        <w:rPr>
          <w:rFonts w:hint="eastAsia" w:cs="仿宋" w:asciiTheme="minorEastAsia" w:hAnsiTheme="minorEastAsia" w:eastAsiaTheme="minorEastAsia"/>
          <w:bCs/>
          <w:sz w:val="24"/>
          <w:szCs w:val="24"/>
        </w:rPr>
        <w:t>（6）投标价若超出该项目预算金额（控制价）将做无效投标处理。</w:t>
      </w:r>
    </w:p>
    <w:p>
      <w:pPr>
        <w:spacing w:line="360" w:lineRule="auto"/>
        <w:ind w:firstLine="480" w:firstLineChars="200"/>
        <w:rPr>
          <w:rFonts w:cs="仿宋" w:asciiTheme="minorEastAsia" w:hAnsiTheme="minorEastAsia" w:eastAsiaTheme="minorEastAsia"/>
          <w:bCs/>
          <w:sz w:val="24"/>
          <w:szCs w:val="24"/>
        </w:rPr>
      </w:pPr>
      <w:r>
        <w:rPr>
          <w:rFonts w:hint="eastAsia" w:cs="仿宋" w:asciiTheme="minorEastAsia" w:hAnsiTheme="minorEastAsia" w:eastAsiaTheme="minorEastAsia"/>
          <w:bCs/>
          <w:sz w:val="24"/>
          <w:szCs w:val="24"/>
        </w:rPr>
        <w:t>（7）招标人将保留对预中标单位的资质、资格证明文件、投标文件的真实性进行标后核查的权力，如发现有弄虚作假行为，一律按规定上报有关监督部门做废标处理。</w:t>
      </w:r>
    </w:p>
    <w:p>
      <w:pPr>
        <w:rPr>
          <w:rFonts w:asciiTheme="minorEastAsia" w:hAnsiTheme="minorEastAsia" w:eastAsiaTheme="minorEastAsia"/>
          <w:sz w:val="24"/>
          <w:szCs w:val="24"/>
        </w:rPr>
      </w:pPr>
    </w:p>
    <w:p>
      <w:pPr>
        <w:rPr>
          <w:rFonts w:hint="eastAsia" w:ascii="方正黑体_GBK" w:hAnsi="方正黑体_GBK" w:eastAsia="方正黑体_GBK" w:cs="方正黑体_GBK"/>
          <w:b w:val="0"/>
          <w:bCs w:val="0"/>
          <w:sz w:val="32"/>
          <w:szCs w:val="32"/>
        </w:rPr>
      </w:pPr>
      <w:r>
        <w:rPr>
          <w:rFonts w:hint="eastAsia" w:ascii="方正黑体_GBK" w:hAnsi="方正黑体_GBK" w:eastAsia="方正黑体_GBK" w:cs="方正黑体_GBK"/>
          <w:b w:val="0"/>
          <w:bCs w:val="0"/>
          <w:sz w:val="32"/>
          <w:szCs w:val="32"/>
        </w:rPr>
        <w:t xml:space="preserve"> </w:t>
      </w:r>
      <w:r>
        <w:rPr>
          <w:rFonts w:hint="eastAsia" w:ascii="方正黑体_GBK" w:hAnsi="方正黑体_GBK" w:eastAsia="方正黑体_GBK" w:cs="方正黑体_GBK"/>
          <w:b w:val="0"/>
          <w:bCs w:val="0"/>
          <w:sz w:val="32"/>
          <w:szCs w:val="32"/>
          <w:lang w:eastAsia="zh-CN"/>
        </w:rPr>
        <w:t>五、</w:t>
      </w:r>
      <w:r>
        <w:rPr>
          <w:rFonts w:hint="eastAsia" w:ascii="方正黑体_GBK" w:hAnsi="方正黑体_GBK" w:eastAsia="方正黑体_GBK" w:cs="方正黑体_GBK"/>
          <w:b w:val="0"/>
          <w:bCs w:val="0"/>
          <w:sz w:val="32"/>
          <w:szCs w:val="32"/>
        </w:rPr>
        <w:t>评审标准（综合评分法）</w:t>
      </w:r>
    </w:p>
    <w:p>
      <w:pPr>
        <w:pStyle w:val="2"/>
        <w:spacing w:line="360" w:lineRule="auto"/>
        <w:ind w:firstLine="480" w:firstLineChars="200"/>
        <w:rPr>
          <w:rFonts w:cs="仿宋" w:asciiTheme="minorEastAsia" w:hAnsiTheme="minorEastAsia" w:eastAsiaTheme="minorEastAsia"/>
          <w:bCs/>
          <w:sz w:val="24"/>
          <w:szCs w:val="24"/>
        </w:rPr>
      </w:pPr>
      <w:r>
        <w:rPr>
          <w:rFonts w:hint="eastAsia" w:cs="仿宋" w:asciiTheme="minorEastAsia" w:hAnsiTheme="minorEastAsia" w:eastAsiaTheme="minorEastAsia"/>
          <w:bCs/>
          <w:sz w:val="24"/>
          <w:szCs w:val="24"/>
        </w:rPr>
        <w:t>基于本项目在网络安全方面的深层次需求，对本项目定标采取综合评分法（技术</w:t>
      </w:r>
      <w:r>
        <w:rPr>
          <w:rFonts w:cs="仿宋" w:asciiTheme="minorEastAsia" w:hAnsiTheme="minorEastAsia" w:eastAsiaTheme="minorEastAsia"/>
          <w:bCs/>
          <w:sz w:val="24"/>
          <w:szCs w:val="24"/>
        </w:rPr>
        <w:t>80</w:t>
      </w:r>
      <w:r>
        <w:rPr>
          <w:rFonts w:hint="eastAsia" w:cs="仿宋" w:asciiTheme="minorEastAsia" w:hAnsiTheme="minorEastAsia" w:eastAsiaTheme="minorEastAsia"/>
          <w:bCs/>
          <w:sz w:val="24"/>
          <w:szCs w:val="24"/>
        </w:rPr>
        <w:t>%</w:t>
      </w:r>
      <w:r>
        <w:rPr>
          <w:rFonts w:cs="仿宋" w:asciiTheme="minorEastAsia" w:hAnsiTheme="minorEastAsia" w:eastAsiaTheme="minorEastAsia"/>
          <w:bCs/>
          <w:sz w:val="24"/>
          <w:szCs w:val="24"/>
        </w:rPr>
        <w:t>+</w:t>
      </w:r>
      <w:r>
        <w:rPr>
          <w:rFonts w:hint="eastAsia" w:cs="仿宋" w:asciiTheme="minorEastAsia" w:hAnsiTheme="minorEastAsia" w:eastAsiaTheme="minorEastAsia"/>
          <w:bCs/>
          <w:sz w:val="24"/>
          <w:szCs w:val="24"/>
        </w:rPr>
        <w:t>商务</w:t>
      </w:r>
      <w:r>
        <w:rPr>
          <w:rFonts w:cs="仿宋" w:asciiTheme="minorEastAsia" w:hAnsiTheme="minorEastAsia" w:eastAsiaTheme="minorEastAsia"/>
          <w:bCs/>
          <w:sz w:val="24"/>
          <w:szCs w:val="24"/>
        </w:rPr>
        <w:t>20</w:t>
      </w:r>
      <w:r>
        <w:rPr>
          <w:rFonts w:hint="eastAsia" w:cs="仿宋" w:asciiTheme="minorEastAsia" w:hAnsiTheme="minorEastAsia" w:eastAsiaTheme="minorEastAsia"/>
          <w:bCs/>
          <w:sz w:val="24"/>
          <w:szCs w:val="24"/>
        </w:rPr>
        <w:t>%），具体评分要求如下：</w:t>
      </w:r>
    </w:p>
    <w:tbl>
      <w:tblPr>
        <w:tblStyle w:val="9"/>
        <w:tblW w:w="9072" w:type="dxa"/>
        <w:jc w:val="center"/>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0" w:type="dxa"/>
          <w:bottom w:w="0" w:type="dxa"/>
          <w:right w:w="0" w:type="dxa"/>
        </w:tblCellMar>
      </w:tblPr>
      <w:tblGrid>
        <w:gridCol w:w="1368"/>
        <w:gridCol w:w="1384"/>
        <w:gridCol w:w="6320"/>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0" w:type="dxa"/>
            <w:bottom w:w="0" w:type="dxa"/>
            <w:right w:w="0" w:type="dxa"/>
          </w:tblCellMar>
        </w:tblPrEx>
        <w:trPr>
          <w:trHeight w:val="589" w:hRule="atLeast"/>
          <w:tblHeader/>
          <w:jc w:val="center"/>
        </w:trPr>
        <w:tc>
          <w:tcPr>
            <w:tcW w:w="2752" w:type="dxa"/>
            <w:gridSpan w:val="2"/>
            <w:tcBorders>
              <w:top w:val="single" w:color="auto" w:sz="12" w:space="0"/>
              <w:left w:val="single" w:color="auto" w:sz="12" w:space="0"/>
              <w:bottom w:val="single" w:color="auto" w:sz="8" w:space="0"/>
              <w:right w:val="single" w:color="auto" w:sz="8" w:space="0"/>
            </w:tcBorders>
            <w:shd w:val="clear" w:color="auto" w:fill="E0E0E0"/>
            <w:vAlign w:val="center"/>
          </w:tcPr>
          <w:p>
            <w:pPr>
              <w:autoSpaceDE w:val="0"/>
              <w:autoSpaceDN w:val="0"/>
              <w:adjustRightInd w:val="0"/>
              <w:jc w:val="center"/>
              <w:rPr>
                <w:rFonts w:ascii="宋体" w:hAnsi="宋体" w:cs="宋体"/>
                <w:b/>
                <w:sz w:val="24"/>
                <w:szCs w:val="20"/>
                <w:shd w:val="clear" w:color="FFFFFF" w:fill="D9D9D9"/>
                <w:lang w:val="zh-CN"/>
              </w:rPr>
            </w:pPr>
            <w:r>
              <w:rPr>
                <w:rFonts w:ascii="宋体" w:hAnsi="宋体" w:cs="宋体"/>
                <w:b/>
                <w:sz w:val="24"/>
                <w:szCs w:val="20"/>
                <w:shd w:val="clear" w:color="FFFFFF" w:fill="D9D9D9"/>
              </w:rPr>
              <w:t>评标项目</w:t>
            </w:r>
          </w:p>
        </w:tc>
        <w:tc>
          <w:tcPr>
            <w:tcW w:w="6320" w:type="dxa"/>
            <w:tcBorders>
              <w:top w:val="single" w:color="auto" w:sz="12" w:space="0"/>
              <w:left w:val="single" w:color="auto" w:sz="8" w:space="0"/>
              <w:bottom w:val="single" w:color="auto" w:sz="8" w:space="0"/>
              <w:right w:val="single" w:color="auto" w:sz="12" w:space="0"/>
            </w:tcBorders>
            <w:shd w:val="clear" w:color="auto" w:fill="E0E0E0"/>
            <w:vAlign w:val="center"/>
          </w:tcPr>
          <w:p>
            <w:pPr>
              <w:autoSpaceDE w:val="0"/>
              <w:autoSpaceDN w:val="0"/>
              <w:adjustRightInd w:val="0"/>
              <w:jc w:val="center"/>
              <w:rPr>
                <w:rFonts w:ascii="宋体" w:hAnsi="宋体" w:cs="宋体"/>
                <w:b/>
                <w:sz w:val="24"/>
                <w:szCs w:val="20"/>
                <w:shd w:val="clear" w:color="FFFFFF" w:fill="D9D9D9"/>
                <w:lang w:val="zh-CN"/>
              </w:rPr>
            </w:pPr>
            <w:r>
              <w:rPr>
                <w:rFonts w:ascii="宋体" w:hAnsi="宋体" w:cs="宋体"/>
                <w:b/>
                <w:sz w:val="24"/>
                <w:szCs w:val="20"/>
                <w:shd w:val="clear" w:color="FFFFFF" w:fill="D9D9D9"/>
                <w:lang w:val="zh-CN"/>
              </w:rPr>
              <w:t>评标内容及标准</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0" w:type="dxa"/>
            <w:bottom w:w="0" w:type="dxa"/>
            <w:right w:w="0" w:type="dxa"/>
          </w:tblCellMar>
        </w:tblPrEx>
        <w:trPr>
          <w:trHeight w:val="232" w:hRule="atLeast"/>
          <w:jc w:val="center"/>
        </w:trPr>
        <w:tc>
          <w:tcPr>
            <w:tcW w:w="2752" w:type="dxa"/>
            <w:gridSpan w:val="2"/>
            <w:tcBorders>
              <w:left w:val="single" w:color="auto" w:sz="12" w:space="0"/>
              <w:right w:val="single" w:color="auto" w:sz="8" w:space="0"/>
            </w:tcBorders>
            <w:vAlign w:val="center"/>
          </w:tcPr>
          <w:p>
            <w:pPr>
              <w:autoSpaceDE w:val="0"/>
              <w:autoSpaceDN w:val="0"/>
              <w:adjustRightInd w:val="0"/>
              <w:spacing w:line="400" w:lineRule="exact"/>
              <w:jc w:val="center"/>
              <w:rPr>
                <w:rFonts w:ascii="宋体" w:hAnsi="宋体" w:cs="宋体"/>
                <w:bCs/>
                <w:sz w:val="24"/>
                <w:szCs w:val="20"/>
                <w:lang w:val="zh-CN"/>
              </w:rPr>
            </w:pPr>
            <w:r>
              <w:rPr>
                <w:rFonts w:ascii="宋体" w:hAnsi="宋体" w:cs="宋体"/>
                <w:bCs/>
                <w:sz w:val="24"/>
                <w:szCs w:val="20"/>
                <w:lang w:val="zh-CN"/>
              </w:rPr>
              <w:t>投标人实力</w:t>
            </w:r>
          </w:p>
          <w:p>
            <w:pPr>
              <w:autoSpaceDE w:val="0"/>
              <w:autoSpaceDN w:val="0"/>
              <w:adjustRightInd w:val="0"/>
              <w:spacing w:line="400" w:lineRule="exact"/>
              <w:jc w:val="center"/>
              <w:rPr>
                <w:rFonts w:ascii="宋体" w:hAnsi="宋体" w:cs="宋体"/>
                <w:bCs/>
                <w:sz w:val="24"/>
                <w:szCs w:val="20"/>
                <w:lang w:val="zh-CN"/>
              </w:rPr>
            </w:pPr>
            <w:r>
              <w:rPr>
                <w:rFonts w:ascii="宋体" w:hAnsi="宋体" w:cs="宋体"/>
                <w:bCs/>
                <w:sz w:val="24"/>
                <w:szCs w:val="20"/>
                <w:lang w:val="zh-CN"/>
              </w:rPr>
              <w:t>（40分）</w:t>
            </w:r>
          </w:p>
        </w:tc>
        <w:tc>
          <w:tcPr>
            <w:tcW w:w="6320" w:type="dxa"/>
            <w:tcBorders>
              <w:top w:val="single" w:color="auto" w:sz="8" w:space="0"/>
              <w:left w:val="single" w:color="auto" w:sz="8" w:space="0"/>
              <w:bottom w:val="single" w:color="auto" w:sz="8" w:space="0"/>
              <w:right w:val="single" w:color="auto" w:sz="12" w:space="0"/>
            </w:tcBorders>
            <w:vAlign w:val="center"/>
          </w:tcPr>
          <w:p>
            <w:pPr>
              <w:autoSpaceDE w:val="0"/>
              <w:autoSpaceDN w:val="0"/>
              <w:adjustRightInd w:val="0"/>
              <w:spacing w:line="400" w:lineRule="exact"/>
              <w:rPr>
                <w:rFonts w:ascii="宋体" w:hAnsi="宋体" w:cs="宋体"/>
                <w:b/>
                <w:sz w:val="24"/>
              </w:rPr>
            </w:pPr>
            <w:r>
              <w:rPr>
                <w:rFonts w:hint="eastAsia" w:ascii="宋体" w:hAnsi="宋体" w:cs="宋体"/>
                <w:b/>
                <w:sz w:val="24"/>
              </w:rPr>
              <w:t>投标人实力（本小项满分</w:t>
            </w:r>
            <w:r>
              <w:rPr>
                <w:rFonts w:ascii="宋体" w:hAnsi="宋体" w:cs="宋体"/>
                <w:b/>
                <w:sz w:val="24"/>
              </w:rPr>
              <w:t>40</w:t>
            </w:r>
            <w:r>
              <w:rPr>
                <w:rFonts w:hint="eastAsia" w:ascii="宋体" w:hAnsi="宋体" w:cs="宋体"/>
                <w:b/>
                <w:sz w:val="24"/>
              </w:rPr>
              <w:t>分）：</w:t>
            </w:r>
          </w:p>
          <w:p>
            <w:pPr>
              <w:autoSpaceDE w:val="0"/>
              <w:autoSpaceDN w:val="0"/>
              <w:adjustRightInd w:val="0"/>
              <w:spacing w:line="400" w:lineRule="exact"/>
              <w:rPr>
                <w:rFonts w:ascii="宋体" w:hAnsi="宋体" w:cs="宋体"/>
                <w:b/>
                <w:color w:val="000000"/>
                <w:sz w:val="24"/>
                <w:szCs w:val="20"/>
              </w:rPr>
            </w:pPr>
            <w:r>
              <w:rPr>
                <w:rFonts w:ascii="宋体" w:hAnsi="宋体" w:cs="宋体"/>
                <w:bCs/>
                <w:color w:val="000000"/>
                <w:sz w:val="24"/>
                <w:szCs w:val="20"/>
              </w:rPr>
              <w:t>1</w:t>
            </w:r>
            <w:r>
              <w:rPr>
                <w:rFonts w:ascii="宋体" w:hAnsi="宋体" w:cs="宋体"/>
                <w:bCs/>
                <w:color w:val="000000"/>
                <w:sz w:val="24"/>
                <w:szCs w:val="20"/>
                <w:lang w:val="zh-CN"/>
              </w:rPr>
              <w:t>、投标人具有ISO/IEC 27001信息安全管理体系认证证书（</w:t>
            </w:r>
            <w:r>
              <w:rPr>
                <w:rFonts w:ascii="宋体" w:hAnsi="宋体" w:cs="宋体"/>
                <w:b/>
                <w:bCs/>
                <w:color w:val="000000"/>
                <w:sz w:val="24"/>
                <w:szCs w:val="20"/>
                <w:lang w:val="zh-CN"/>
              </w:rPr>
              <w:t>认证的业务范围包括网络安全等级保护测评、培训、IT咨询</w:t>
            </w:r>
            <w:r>
              <w:rPr>
                <w:rFonts w:ascii="宋体" w:hAnsi="宋体" w:cs="宋体"/>
                <w:bCs/>
                <w:color w:val="000000"/>
                <w:sz w:val="24"/>
                <w:szCs w:val="20"/>
                <w:lang w:val="zh-CN"/>
              </w:rPr>
              <w:t>），得8分</w:t>
            </w:r>
            <w:r>
              <w:rPr>
                <w:rFonts w:ascii="宋体" w:hAnsi="宋体" w:cs="宋体"/>
                <w:color w:val="000000"/>
                <w:sz w:val="24"/>
                <w:szCs w:val="20"/>
              </w:rPr>
              <w:t>，否则不得分</w:t>
            </w:r>
            <w:r>
              <w:rPr>
                <w:rFonts w:ascii="宋体" w:hAnsi="宋体" w:cs="宋体"/>
                <w:b/>
                <w:color w:val="000000"/>
                <w:sz w:val="24"/>
                <w:szCs w:val="20"/>
              </w:rPr>
              <w:t>；</w:t>
            </w:r>
          </w:p>
          <w:p>
            <w:pPr>
              <w:autoSpaceDE w:val="0"/>
              <w:autoSpaceDN w:val="0"/>
              <w:adjustRightInd w:val="0"/>
              <w:spacing w:line="400" w:lineRule="exact"/>
              <w:rPr>
                <w:rFonts w:ascii="宋体" w:hAnsi="宋体" w:cs="宋体"/>
                <w:bCs/>
                <w:color w:val="000000"/>
                <w:sz w:val="24"/>
                <w:szCs w:val="20"/>
                <w:lang w:val="zh-CN"/>
              </w:rPr>
            </w:pPr>
            <w:r>
              <w:rPr>
                <w:rFonts w:ascii="宋体" w:hAnsi="宋体"/>
                <w:sz w:val="24"/>
                <w:szCs w:val="20"/>
              </w:rPr>
              <w:t>2、投标人具有ISO 9001质量管理体系认证证书，</w:t>
            </w:r>
            <w:r>
              <w:rPr>
                <w:rFonts w:ascii="宋体" w:hAnsi="宋体" w:cs="宋体"/>
                <w:color w:val="000000"/>
                <w:sz w:val="24"/>
                <w:szCs w:val="20"/>
              </w:rPr>
              <w:t>满足得8分，否则不得分</w:t>
            </w:r>
            <w:r>
              <w:rPr>
                <w:rFonts w:ascii="宋体" w:hAnsi="宋体"/>
                <w:sz w:val="24"/>
                <w:szCs w:val="20"/>
              </w:rPr>
              <w:t>；</w:t>
            </w:r>
          </w:p>
          <w:p>
            <w:pPr>
              <w:autoSpaceDE w:val="0"/>
              <w:autoSpaceDN w:val="0"/>
              <w:adjustRightInd w:val="0"/>
              <w:spacing w:line="400" w:lineRule="exact"/>
              <w:rPr>
                <w:rFonts w:ascii="宋体" w:hAnsi="宋体" w:cs="宋体"/>
                <w:b/>
                <w:color w:val="000000"/>
                <w:sz w:val="24"/>
                <w:szCs w:val="20"/>
              </w:rPr>
            </w:pPr>
            <w:r>
              <w:rPr>
                <w:rFonts w:ascii="宋体" w:hAnsi="宋体" w:cs="宋体"/>
                <w:bCs/>
                <w:color w:val="000000"/>
                <w:sz w:val="24"/>
                <w:szCs w:val="20"/>
                <w:lang w:val="zh-CN"/>
              </w:rPr>
              <w:t>3、投标人具有ISO/IEC 20000信息技术服务管理体系认证证书（</w:t>
            </w:r>
            <w:r>
              <w:rPr>
                <w:rFonts w:ascii="宋体" w:hAnsi="宋体" w:cs="宋体"/>
                <w:b/>
                <w:bCs/>
                <w:color w:val="000000"/>
                <w:sz w:val="24"/>
                <w:szCs w:val="20"/>
                <w:lang w:val="zh-CN"/>
              </w:rPr>
              <w:t>认证的业务范围包括网络安全等级保护测评、培训、IT咨询</w:t>
            </w:r>
            <w:r>
              <w:rPr>
                <w:rFonts w:ascii="宋体" w:hAnsi="宋体" w:cs="宋体"/>
                <w:bCs/>
                <w:color w:val="000000"/>
                <w:sz w:val="24"/>
                <w:szCs w:val="20"/>
                <w:lang w:val="zh-CN"/>
              </w:rPr>
              <w:t>），得8分</w:t>
            </w:r>
            <w:r>
              <w:rPr>
                <w:rFonts w:ascii="宋体" w:hAnsi="宋体" w:cs="宋体"/>
                <w:color w:val="000000"/>
                <w:sz w:val="24"/>
                <w:szCs w:val="20"/>
              </w:rPr>
              <w:t>，否则不得分</w:t>
            </w:r>
            <w:r>
              <w:rPr>
                <w:rFonts w:ascii="宋体" w:hAnsi="宋体" w:cs="宋体"/>
                <w:b/>
                <w:color w:val="000000"/>
                <w:sz w:val="24"/>
                <w:szCs w:val="20"/>
              </w:rPr>
              <w:t>；</w:t>
            </w:r>
          </w:p>
          <w:p>
            <w:pPr>
              <w:autoSpaceDE w:val="0"/>
              <w:autoSpaceDN w:val="0"/>
              <w:adjustRightInd w:val="0"/>
              <w:spacing w:line="400" w:lineRule="exact"/>
              <w:rPr>
                <w:rFonts w:ascii="宋体" w:hAnsi="宋体" w:cs="宋体"/>
                <w:bCs/>
                <w:color w:val="000000"/>
                <w:sz w:val="24"/>
                <w:szCs w:val="20"/>
                <w:lang w:val="zh-CN"/>
              </w:rPr>
            </w:pPr>
            <w:r>
              <w:rPr>
                <w:rFonts w:ascii="宋体" w:hAnsi="宋体" w:cs="宋体"/>
                <w:bCs/>
                <w:color w:val="000000"/>
                <w:sz w:val="24"/>
                <w:szCs w:val="20"/>
              </w:rPr>
              <w:t>4</w:t>
            </w:r>
            <w:r>
              <w:rPr>
                <w:rFonts w:ascii="宋体" w:hAnsi="宋体" w:cs="宋体"/>
                <w:bCs/>
                <w:color w:val="000000"/>
                <w:sz w:val="24"/>
                <w:szCs w:val="20"/>
                <w:lang w:val="zh-CN"/>
              </w:rPr>
              <w:t>、投标人具有</w:t>
            </w:r>
            <w:r>
              <w:rPr>
                <w:rFonts w:ascii="宋体" w:hAnsi="宋体" w:cs="宋体"/>
                <w:b/>
                <w:bCs/>
                <w:color w:val="000000"/>
                <w:sz w:val="24"/>
                <w:szCs w:val="20"/>
                <w:lang w:val="zh-CN"/>
              </w:rPr>
              <w:t>信息安全风险评估服务资质</w:t>
            </w:r>
            <w:r>
              <w:rPr>
                <w:rFonts w:ascii="宋体" w:hAnsi="宋体" w:cs="宋体"/>
                <w:bCs/>
                <w:color w:val="000000"/>
                <w:sz w:val="24"/>
                <w:szCs w:val="20"/>
                <w:lang w:val="zh-CN"/>
              </w:rPr>
              <w:t>（三级及以上资质）证书，得8分</w:t>
            </w:r>
            <w:r>
              <w:rPr>
                <w:rFonts w:ascii="宋体" w:hAnsi="宋体" w:cs="宋体"/>
                <w:color w:val="000000"/>
                <w:sz w:val="24"/>
                <w:szCs w:val="20"/>
              </w:rPr>
              <w:t>，否则不得分</w:t>
            </w:r>
            <w:r>
              <w:rPr>
                <w:rFonts w:ascii="宋体" w:hAnsi="宋体" w:cs="宋体"/>
                <w:bCs/>
                <w:color w:val="000000"/>
                <w:sz w:val="24"/>
                <w:szCs w:val="20"/>
                <w:lang w:val="zh-CN"/>
              </w:rPr>
              <w:t>；</w:t>
            </w:r>
          </w:p>
          <w:p>
            <w:pPr>
              <w:autoSpaceDE w:val="0"/>
              <w:autoSpaceDN w:val="0"/>
              <w:adjustRightInd w:val="0"/>
              <w:spacing w:line="400" w:lineRule="exact"/>
              <w:rPr>
                <w:rFonts w:ascii="宋体" w:hAnsi="宋体" w:cs="宋体"/>
                <w:bCs/>
                <w:sz w:val="24"/>
                <w:szCs w:val="20"/>
                <w:lang w:val="zh-CN"/>
              </w:rPr>
            </w:pPr>
            <w:r>
              <w:rPr>
                <w:rFonts w:ascii="宋体" w:hAnsi="宋体" w:cs="宋体"/>
                <w:bCs/>
                <w:color w:val="000000"/>
                <w:sz w:val="24"/>
                <w:szCs w:val="20"/>
                <w:lang w:val="zh-CN"/>
              </w:rPr>
              <w:t>5、投标人具有</w:t>
            </w:r>
            <w:r>
              <w:rPr>
                <w:rFonts w:ascii="宋体" w:hAnsi="宋体" w:cs="宋体"/>
                <w:b/>
                <w:bCs/>
                <w:color w:val="000000"/>
                <w:sz w:val="24"/>
                <w:szCs w:val="20"/>
                <w:lang w:val="zh-CN"/>
              </w:rPr>
              <w:t>国家信息安全水平考试（NISP）授权认证机构证书</w:t>
            </w:r>
            <w:r>
              <w:rPr>
                <w:rFonts w:ascii="宋体" w:hAnsi="宋体" w:cs="宋体"/>
                <w:bCs/>
                <w:color w:val="000000"/>
                <w:sz w:val="24"/>
                <w:szCs w:val="20"/>
                <w:lang w:val="zh-CN"/>
              </w:rPr>
              <w:t>的，得8分</w:t>
            </w:r>
            <w:r>
              <w:rPr>
                <w:rFonts w:ascii="宋体" w:hAnsi="宋体" w:cs="宋体"/>
                <w:color w:val="000000"/>
                <w:sz w:val="24"/>
                <w:szCs w:val="20"/>
              </w:rPr>
              <w:t>，否则不得分</w:t>
            </w:r>
            <w:r>
              <w:rPr>
                <w:rFonts w:ascii="宋体" w:hAnsi="宋体" w:cs="宋体"/>
                <w:bCs/>
                <w:sz w:val="24"/>
                <w:szCs w:val="20"/>
                <w:lang w:val="zh-CN"/>
              </w:rPr>
              <w:t>。</w:t>
            </w:r>
          </w:p>
          <w:p>
            <w:pPr>
              <w:autoSpaceDE w:val="0"/>
              <w:autoSpaceDN w:val="0"/>
              <w:adjustRightInd w:val="0"/>
              <w:spacing w:line="400" w:lineRule="exact"/>
              <w:rPr>
                <w:rFonts w:ascii="宋体" w:hAnsi="宋体" w:cs="宋体"/>
                <w:sz w:val="24"/>
                <w:szCs w:val="20"/>
                <w:lang w:val="zh-CN"/>
              </w:rPr>
            </w:pPr>
            <w:r>
              <w:rPr>
                <w:rFonts w:ascii="宋体" w:hAnsi="宋体" w:cs="宋体"/>
                <w:sz w:val="24"/>
                <w:szCs w:val="20"/>
                <w:lang w:val="zh-CN"/>
              </w:rPr>
              <w:t>注：需提供证书原件扫描件或复印件</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0" w:type="dxa"/>
            <w:bottom w:w="0" w:type="dxa"/>
            <w:right w:w="0" w:type="dxa"/>
          </w:tblCellMar>
        </w:tblPrEx>
        <w:trPr>
          <w:trHeight w:val="900" w:hRule="atLeast"/>
          <w:jc w:val="center"/>
        </w:trPr>
        <w:tc>
          <w:tcPr>
            <w:tcW w:w="2752" w:type="dxa"/>
            <w:gridSpan w:val="2"/>
            <w:tcBorders>
              <w:left w:val="single" w:color="auto" w:sz="12" w:space="0"/>
              <w:right w:val="single" w:color="auto" w:sz="8" w:space="0"/>
            </w:tcBorders>
            <w:vAlign w:val="center"/>
          </w:tcPr>
          <w:p>
            <w:pPr>
              <w:autoSpaceDE w:val="0"/>
              <w:autoSpaceDN w:val="0"/>
              <w:adjustRightInd w:val="0"/>
              <w:spacing w:line="400" w:lineRule="exact"/>
              <w:jc w:val="center"/>
              <w:rPr>
                <w:rFonts w:ascii="宋体" w:hAnsi="宋体" w:cs="宋体"/>
                <w:bCs/>
                <w:sz w:val="24"/>
                <w:szCs w:val="20"/>
                <w:lang w:val="zh-CN"/>
              </w:rPr>
            </w:pPr>
            <w:r>
              <w:rPr>
                <w:rFonts w:ascii="宋体" w:hAnsi="宋体" w:cs="宋体"/>
                <w:bCs/>
                <w:sz w:val="24"/>
                <w:szCs w:val="20"/>
                <w:lang w:val="zh-CN"/>
              </w:rPr>
              <w:t>成功案例</w:t>
            </w:r>
          </w:p>
          <w:p>
            <w:pPr>
              <w:autoSpaceDE w:val="0"/>
              <w:autoSpaceDN w:val="0"/>
              <w:adjustRightInd w:val="0"/>
              <w:spacing w:line="400" w:lineRule="exact"/>
              <w:jc w:val="center"/>
              <w:rPr>
                <w:rFonts w:ascii="宋体" w:hAnsi="宋体" w:cs="宋体"/>
                <w:bCs/>
                <w:sz w:val="24"/>
                <w:szCs w:val="20"/>
                <w:lang w:val="zh-CN"/>
              </w:rPr>
            </w:pPr>
            <w:r>
              <w:rPr>
                <w:rFonts w:ascii="宋体" w:hAnsi="宋体" w:cs="宋体"/>
                <w:bCs/>
                <w:sz w:val="24"/>
                <w:szCs w:val="20"/>
                <w:lang w:val="zh-CN"/>
              </w:rPr>
              <w:t>（10分）</w:t>
            </w:r>
          </w:p>
        </w:tc>
        <w:tc>
          <w:tcPr>
            <w:tcW w:w="6320" w:type="dxa"/>
            <w:tcBorders>
              <w:top w:val="single" w:color="auto" w:sz="8" w:space="0"/>
              <w:left w:val="single" w:color="auto" w:sz="8" w:space="0"/>
              <w:bottom w:val="single" w:color="auto" w:sz="8" w:space="0"/>
              <w:right w:val="single" w:color="auto" w:sz="12" w:space="0"/>
            </w:tcBorders>
            <w:vAlign w:val="center"/>
          </w:tcPr>
          <w:p>
            <w:pPr>
              <w:autoSpaceDE w:val="0"/>
              <w:autoSpaceDN w:val="0"/>
              <w:adjustRightInd w:val="0"/>
              <w:spacing w:line="400" w:lineRule="exact"/>
              <w:rPr>
                <w:rFonts w:ascii="宋体" w:hAnsi="宋体" w:cs="宋体"/>
                <w:b/>
                <w:bCs/>
                <w:sz w:val="24"/>
                <w:szCs w:val="20"/>
                <w:lang w:val="zh-CN"/>
              </w:rPr>
            </w:pPr>
            <w:r>
              <w:rPr>
                <w:rFonts w:ascii="宋体" w:hAnsi="宋体" w:cs="宋体"/>
                <w:b/>
                <w:bCs/>
                <w:sz w:val="24"/>
                <w:szCs w:val="20"/>
                <w:lang w:val="zh-CN"/>
              </w:rPr>
              <w:t>成功案例（本小项满分10分）：</w:t>
            </w:r>
          </w:p>
          <w:p>
            <w:pPr>
              <w:autoSpaceDE w:val="0"/>
              <w:autoSpaceDN w:val="0"/>
              <w:adjustRightInd w:val="0"/>
              <w:spacing w:line="400" w:lineRule="exact"/>
              <w:rPr>
                <w:rFonts w:ascii="宋体" w:hAnsi="宋体" w:cs="宋体"/>
                <w:bCs/>
                <w:sz w:val="24"/>
                <w:szCs w:val="20"/>
                <w:lang w:val="zh-CN"/>
              </w:rPr>
            </w:pPr>
            <w:r>
              <w:rPr>
                <w:rFonts w:ascii="宋体" w:hAnsi="宋体" w:cs="宋体"/>
                <w:bCs/>
                <w:sz w:val="24"/>
                <w:szCs w:val="20"/>
                <w:lang w:val="zh-CN"/>
              </w:rPr>
              <w:t>2017年1月1日以来，以测评服务合同签订日期为准：</w:t>
            </w:r>
          </w:p>
          <w:p>
            <w:pPr>
              <w:autoSpaceDE w:val="0"/>
              <w:autoSpaceDN w:val="0"/>
              <w:adjustRightInd w:val="0"/>
              <w:spacing w:line="400" w:lineRule="exact"/>
              <w:rPr>
                <w:rFonts w:ascii="宋体" w:hAnsi="宋体" w:cs="宋体"/>
                <w:bCs/>
                <w:sz w:val="24"/>
                <w:szCs w:val="20"/>
                <w:lang w:val="zh-CN"/>
              </w:rPr>
            </w:pPr>
            <w:r>
              <w:rPr>
                <w:rFonts w:ascii="宋体" w:hAnsi="宋体" w:cs="宋体"/>
                <w:bCs/>
                <w:sz w:val="24"/>
                <w:szCs w:val="20"/>
                <w:lang w:val="zh-CN"/>
              </w:rPr>
              <w:t>1、投标人具有境内单个合同额30万元以上等级保护测评服务业绩，每一个得1.5分，最高得</w:t>
            </w:r>
            <w:r>
              <w:rPr>
                <w:rFonts w:ascii="宋体" w:hAnsi="宋体" w:cs="宋体"/>
                <w:sz w:val="24"/>
                <w:szCs w:val="20"/>
                <w:lang w:val="zh-CN"/>
              </w:rPr>
              <w:t>6分；</w:t>
            </w:r>
          </w:p>
          <w:p>
            <w:pPr>
              <w:autoSpaceDE w:val="0"/>
              <w:autoSpaceDN w:val="0"/>
              <w:adjustRightInd w:val="0"/>
              <w:spacing w:line="400" w:lineRule="exact"/>
              <w:rPr>
                <w:rFonts w:ascii="宋体" w:hAnsi="宋体" w:cs="宋体"/>
                <w:bCs/>
                <w:sz w:val="24"/>
                <w:szCs w:val="20"/>
                <w:lang w:val="zh-CN"/>
              </w:rPr>
            </w:pPr>
            <w:r>
              <w:rPr>
                <w:rFonts w:ascii="宋体" w:hAnsi="宋体" w:cs="宋体"/>
                <w:bCs/>
                <w:sz w:val="24"/>
                <w:szCs w:val="20"/>
                <w:lang w:val="zh-CN"/>
              </w:rPr>
              <w:t>2、投标人具有境内政府行业等级保护测评服务业绩，每个得0.5分，最高得4分。</w:t>
            </w:r>
          </w:p>
          <w:p>
            <w:pPr>
              <w:autoSpaceDE w:val="0"/>
              <w:autoSpaceDN w:val="0"/>
              <w:adjustRightInd w:val="0"/>
              <w:spacing w:line="400" w:lineRule="exact"/>
              <w:rPr>
                <w:rFonts w:ascii="宋体" w:hAnsi="宋体" w:cs="宋体"/>
                <w:sz w:val="24"/>
                <w:szCs w:val="20"/>
                <w:lang w:val="zh-CN"/>
              </w:rPr>
            </w:pPr>
            <w:r>
              <w:rPr>
                <w:rFonts w:ascii="宋体" w:hAnsi="宋体" w:cs="宋体"/>
                <w:sz w:val="24"/>
                <w:szCs w:val="20"/>
                <w:lang w:val="zh-CN"/>
              </w:rPr>
              <w:t>注：</w:t>
            </w:r>
          </w:p>
          <w:p>
            <w:pPr>
              <w:autoSpaceDE w:val="0"/>
              <w:autoSpaceDN w:val="0"/>
              <w:adjustRightInd w:val="0"/>
              <w:spacing w:line="400" w:lineRule="exact"/>
              <w:rPr>
                <w:rFonts w:ascii="宋体" w:hAnsi="宋体" w:cs="宋体"/>
                <w:sz w:val="24"/>
                <w:szCs w:val="20"/>
                <w:lang w:val="zh-CN"/>
              </w:rPr>
            </w:pPr>
            <w:r>
              <w:rPr>
                <w:rFonts w:ascii="宋体" w:hAnsi="宋体" w:cs="宋体"/>
                <w:sz w:val="24"/>
                <w:szCs w:val="20"/>
                <w:lang w:val="zh-CN"/>
              </w:rPr>
              <w:t>1、以上业绩不重复得分。</w:t>
            </w:r>
          </w:p>
          <w:p>
            <w:pPr>
              <w:autoSpaceDE w:val="0"/>
              <w:autoSpaceDN w:val="0"/>
              <w:adjustRightInd w:val="0"/>
              <w:spacing w:line="400" w:lineRule="exact"/>
              <w:rPr>
                <w:rFonts w:ascii="宋体" w:hAnsi="宋体" w:cs="宋体"/>
                <w:bCs/>
                <w:sz w:val="24"/>
                <w:szCs w:val="20"/>
              </w:rPr>
            </w:pPr>
            <w:r>
              <w:rPr>
                <w:rFonts w:ascii="宋体" w:hAnsi="宋体" w:cs="宋体"/>
                <w:sz w:val="24"/>
                <w:szCs w:val="20"/>
                <w:lang w:val="zh-CN"/>
              </w:rPr>
              <w:t>2、项目业绩需提供合同原件复印件,至少包括合同封面、合同内容、合同金额和签字盖章页，原件现场备查。</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0" w:type="dxa"/>
            <w:bottom w:w="0" w:type="dxa"/>
            <w:right w:w="0" w:type="dxa"/>
          </w:tblCellMar>
        </w:tblPrEx>
        <w:trPr>
          <w:trHeight w:val="900" w:hRule="atLeast"/>
          <w:jc w:val="center"/>
        </w:trPr>
        <w:tc>
          <w:tcPr>
            <w:tcW w:w="1368" w:type="dxa"/>
            <w:vMerge w:val="restart"/>
            <w:tcBorders>
              <w:left w:val="single" w:color="auto" w:sz="12" w:space="0"/>
              <w:right w:val="single" w:color="auto" w:sz="8" w:space="0"/>
            </w:tcBorders>
            <w:vAlign w:val="center"/>
          </w:tcPr>
          <w:p>
            <w:pPr>
              <w:autoSpaceDE w:val="0"/>
              <w:autoSpaceDN w:val="0"/>
              <w:adjustRightInd w:val="0"/>
              <w:spacing w:line="400" w:lineRule="exact"/>
              <w:jc w:val="center"/>
              <w:rPr>
                <w:rFonts w:ascii="宋体" w:hAnsi="宋体" w:cs="宋体"/>
                <w:bCs/>
                <w:sz w:val="24"/>
                <w:szCs w:val="20"/>
                <w:lang w:val="zh-CN"/>
              </w:rPr>
            </w:pPr>
            <w:r>
              <w:rPr>
                <w:rFonts w:ascii="宋体" w:hAnsi="宋体" w:cs="宋体"/>
                <w:bCs/>
                <w:sz w:val="24"/>
                <w:szCs w:val="20"/>
                <w:lang w:val="zh-CN"/>
              </w:rPr>
              <w:t>实施团队（8分）</w:t>
            </w:r>
          </w:p>
        </w:tc>
        <w:tc>
          <w:tcPr>
            <w:tcW w:w="1384" w:type="dxa"/>
            <w:tcBorders>
              <w:top w:val="single" w:color="auto" w:sz="8" w:space="0"/>
              <w:left w:val="single" w:color="auto" w:sz="8" w:space="0"/>
              <w:right w:val="single" w:color="auto" w:sz="8" w:space="0"/>
            </w:tcBorders>
            <w:vAlign w:val="center"/>
          </w:tcPr>
          <w:p>
            <w:pPr>
              <w:autoSpaceDE w:val="0"/>
              <w:autoSpaceDN w:val="0"/>
              <w:adjustRightInd w:val="0"/>
              <w:spacing w:line="400" w:lineRule="exact"/>
              <w:jc w:val="center"/>
              <w:rPr>
                <w:rFonts w:ascii="宋体" w:hAnsi="宋体" w:cs="宋体"/>
                <w:bCs/>
                <w:sz w:val="24"/>
                <w:szCs w:val="20"/>
                <w:lang w:val="zh-CN"/>
              </w:rPr>
            </w:pPr>
            <w:r>
              <w:rPr>
                <w:rFonts w:ascii="宋体" w:hAnsi="宋体" w:cs="宋体"/>
                <w:bCs/>
                <w:sz w:val="24"/>
                <w:szCs w:val="20"/>
                <w:lang w:val="zh-CN"/>
              </w:rPr>
              <w:t>项目负责人</w:t>
            </w:r>
          </w:p>
          <w:p>
            <w:pPr>
              <w:autoSpaceDE w:val="0"/>
              <w:autoSpaceDN w:val="0"/>
              <w:adjustRightInd w:val="0"/>
              <w:spacing w:line="400" w:lineRule="exact"/>
              <w:jc w:val="center"/>
              <w:rPr>
                <w:rFonts w:ascii="宋体" w:hAnsi="宋体" w:cs="宋体"/>
                <w:bCs/>
                <w:sz w:val="24"/>
                <w:szCs w:val="20"/>
                <w:lang w:val="zh-CN"/>
              </w:rPr>
            </w:pPr>
            <w:r>
              <w:rPr>
                <w:rFonts w:ascii="宋体" w:hAnsi="宋体" w:cs="宋体"/>
                <w:bCs/>
                <w:sz w:val="24"/>
                <w:szCs w:val="20"/>
                <w:lang w:val="zh-CN"/>
              </w:rPr>
              <w:t>（2分）</w:t>
            </w:r>
          </w:p>
        </w:tc>
        <w:tc>
          <w:tcPr>
            <w:tcW w:w="6320" w:type="dxa"/>
            <w:tcBorders>
              <w:top w:val="single" w:color="auto" w:sz="8" w:space="0"/>
              <w:left w:val="single" w:color="auto" w:sz="8" w:space="0"/>
              <w:bottom w:val="single" w:color="auto" w:sz="8" w:space="0"/>
              <w:right w:val="single" w:color="auto" w:sz="12" w:space="0"/>
            </w:tcBorders>
            <w:vAlign w:val="center"/>
          </w:tcPr>
          <w:p>
            <w:pPr>
              <w:autoSpaceDE w:val="0"/>
              <w:autoSpaceDN w:val="0"/>
              <w:adjustRightInd w:val="0"/>
              <w:spacing w:line="400" w:lineRule="exact"/>
              <w:rPr>
                <w:rFonts w:ascii="宋体" w:hAnsi="宋体" w:cs="宋体"/>
                <w:b/>
                <w:sz w:val="24"/>
                <w:szCs w:val="20"/>
                <w:lang w:val="zh-CN"/>
              </w:rPr>
            </w:pPr>
            <w:r>
              <w:rPr>
                <w:rFonts w:ascii="宋体" w:hAnsi="宋体" w:cs="宋体"/>
                <w:b/>
                <w:sz w:val="24"/>
                <w:szCs w:val="20"/>
                <w:lang w:val="zh-CN"/>
              </w:rPr>
              <w:t>（1）项目负责人（本小项满分2分）：</w:t>
            </w:r>
          </w:p>
          <w:p>
            <w:pPr>
              <w:autoSpaceDE w:val="0"/>
              <w:autoSpaceDN w:val="0"/>
              <w:adjustRightInd w:val="0"/>
              <w:spacing w:line="400" w:lineRule="exact"/>
              <w:rPr>
                <w:rFonts w:ascii="宋体" w:hAnsi="宋体" w:cs="宋体"/>
                <w:bCs/>
                <w:sz w:val="24"/>
                <w:szCs w:val="20"/>
                <w:lang w:val="zh-CN"/>
              </w:rPr>
            </w:pPr>
            <w:r>
              <w:rPr>
                <w:rFonts w:ascii="宋体" w:hAnsi="宋体" w:cs="宋体"/>
                <w:bCs/>
                <w:sz w:val="24"/>
                <w:szCs w:val="20"/>
                <w:lang w:val="zh-CN"/>
              </w:rPr>
              <w:t>1、具有网络/信息安全等级测评师（高级）证书；</w:t>
            </w:r>
          </w:p>
          <w:p>
            <w:pPr>
              <w:autoSpaceDE w:val="0"/>
              <w:autoSpaceDN w:val="0"/>
              <w:adjustRightInd w:val="0"/>
              <w:spacing w:line="400" w:lineRule="exact"/>
              <w:rPr>
                <w:rFonts w:ascii="宋体" w:hAnsi="宋体" w:cs="宋体"/>
                <w:bCs/>
                <w:sz w:val="24"/>
                <w:szCs w:val="20"/>
                <w:lang w:val="zh-CN"/>
              </w:rPr>
            </w:pPr>
            <w:r>
              <w:rPr>
                <w:rFonts w:ascii="宋体" w:hAnsi="宋体" w:cs="宋体"/>
                <w:bCs/>
                <w:sz w:val="24"/>
                <w:szCs w:val="20"/>
                <w:lang w:val="zh-CN"/>
              </w:rPr>
              <w:t>2、具有注册信息安全专业人员</w:t>
            </w:r>
            <w:r>
              <w:rPr>
                <w:rFonts w:ascii="宋体" w:hAnsi="宋体" w:eastAsia="仿宋_GB2312" w:cs="宋体"/>
                <w:bCs/>
                <w:sz w:val="24"/>
                <w:szCs w:val="20"/>
                <w:lang w:val="zh-CN"/>
              </w:rPr>
              <w:t>（CISP）</w:t>
            </w:r>
            <w:r>
              <w:rPr>
                <w:rFonts w:ascii="宋体" w:hAnsi="宋体" w:cs="宋体"/>
                <w:bCs/>
                <w:sz w:val="24"/>
                <w:szCs w:val="20"/>
                <w:lang w:val="zh-CN"/>
              </w:rPr>
              <w:t>证书；</w:t>
            </w:r>
          </w:p>
          <w:p>
            <w:pPr>
              <w:autoSpaceDE w:val="0"/>
              <w:autoSpaceDN w:val="0"/>
              <w:adjustRightInd w:val="0"/>
              <w:spacing w:line="400" w:lineRule="exact"/>
              <w:rPr>
                <w:rFonts w:ascii="宋体" w:hAnsi="宋体" w:cs="宋体"/>
                <w:bCs/>
                <w:sz w:val="24"/>
                <w:szCs w:val="20"/>
                <w:lang w:val="zh-CN"/>
              </w:rPr>
            </w:pPr>
            <w:r>
              <w:rPr>
                <w:rFonts w:ascii="宋体" w:hAnsi="宋体" w:cs="宋体"/>
                <w:bCs/>
                <w:sz w:val="24"/>
                <w:szCs w:val="20"/>
                <w:lang w:val="zh-CN"/>
              </w:rPr>
              <w:t>3、具有信息安全保障人员认证（CISAW）证书；</w:t>
            </w:r>
          </w:p>
          <w:p>
            <w:pPr>
              <w:autoSpaceDE w:val="0"/>
              <w:autoSpaceDN w:val="0"/>
              <w:adjustRightInd w:val="0"/>
              <w:spacing w:line="400" w:lineRule="exact"/>
              <w:rPr>
                <w:rFonts w:ascii="宋体" w:hAnsi="宋体" w:cs="宋体"/>
                <w:bCs/>
                <w:sz w:val="24"/>
                <w:szCs w:val="20"/>
              </w:rPr>
            </w:pPr>
            <w:r>
              <w:rPr>
                <w:rFonts w:ascii="宋体" w:hAnsi="宋体" w:cs="宋体"/>
                <w:bCs/>
                <w:sz w:val="24"/>
                <w:szCs w:val="20"/>
                <w:lang w:val="zh-CN"/>
              </w:rPr>
              <w:t>4</w:t>
            </w:r>
            <w:r>
              <w:rPr>
                <w:rFonts w:ascii="宋体" w:hAnsi="宋体" w:cs="宋体"/>
                <w:bCs/>
                <w:sz w:val="24"/>
                <w:szCs w:val="20"/>
              </w:rPr>
              <w:t>、具有国家信息安全水平考试培训讲师（NISI）资格证书。</w:t>
            </w:r>
          </w:p>
          <w:p>
            <w:pPr>
              <w:autoSpaceDE w:val="0"/>
              <w:autoSpaceDN w:val="0"/>
              <w:adjustRightInd w:val="0"/>
              <w:spacing w:line="400" w:lineRule="exact"/>
              <w:rPr>
                <w:rFonts w:ascii="宋体" w:hAnsi="宋体" w:cs="宋体"/>
                <w:sz w:val="24"/>
                <w:szCs w:val="20"/>
              </w:rPr>
            </w:pPr>
            <w:r>
              <w:rPr>
                <w:rFonts w:ascii="宋体" w:hAnsi="宋体" w:cs="宋体"/>
                <w:sz w:val="24"/>
                <w:szCs w:val="20"/>
                <w:lang w:val="zh-CN"/>
              </w:rPr>
              <w:t>每具有一个证书得</w:t>
            </w:r>
            <w:r>
              <w:rPr>
                <w:rFonts w:ascii="宋体" w:hAnsi="宋体" w:cs="宋体"/>
                <w:sz w:val="24"/>
                <w:szCs w:val="20"/>
              </w:rPr>
              <w:t>1</w:t>
            </w:r>
            <w:r>
              <w:rPr>
                <w:rFonts w:ascii="宋体" w:hAnsi="宋体" w:cs="宋体"/>
                <w:sz w:val="24"/>
                <w:szCs w:val="20"/>
                <w:lang w:val="zh-CN"/>
              </w:rPr>
              <w:t>分。</w:t>
            </w:r>
          </w:p>
          <w:p>
            <w:pPr>
              <w:autoSpaceDE w:val="0"/>
              <w:autoSpaceDN w:val="0"/>
              <w:adjustRightInd w:val="0"/>
              <w:spacing w:line="400" w:lineRule="exact"/>
              <w:rPr>
                <w:rFonts w:ascii="宋体" w:hAnsi="宋体" w:cs="宋体"/>
                <w:bCs/>
                <w:sz w:val="24"/>
                <w:szCs w:val="20"/>
              </w:rPr>
            </w:pPr>
            <w:r>
              <w:rPr>
                <w:rFonts w:ascii="宋体" w:hAnsi="宋体" w:cs="宋体"/>
                <w:sz w:val="24"/>
                <w:szCs w:val="20"/>
                <w:lang w:val="zh-CN"/>
              </w:rPr>
              <w:t>注</w:t>
            </w:r>
            <w:r>
              <w:rPr>
                <w:rFonts w:ascii="宋体" w:hAnsi="宋体" w:cs="宋体"/>
                <w:sz w:val="24"/>
                <w:szCs w:val="20"/>
              </w:rPr>
              <w:t>：</w:t>
            </w:r>
            <w:r>
              <w:rPr>
                <w:rFonts w:ascii="宋体" w:hAnsi="宋体" w:cs="宋体"/>
                <w:sz w:val="24"/>
                <w:szCs w:val="20"/>
                <w:lang w:val="zh-CN"/>
              </w:rPr>
              <w:t>需提供证书原件扫描件或复印件。</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0" w:type="dxa"/>
            <w:bottom w:w="0" w:type="dxa"/>
            <w:right w:w="0" w:type="dxa"/>
          </w:tblCellMar>
        </w:tblPrEx>
        <w:trPr>
          <w:trHeight w:val="900" w:hRule="atLeast"/>
          <w:jc w:val="center"/>
        </w:trPr>
        <w:tc>
          <w:tcPr>
            <w:tcW w:w="1368" w:type="dxa"/>
            <w:vMerge w:val="continue"/>
            <w:tcBorders>
              <w:left w:val="single" w:color="auto" w:sz="12" w:space="0"/>
              <w:right w:val="single" w:color="auto" w:sz="8" w:space="0"/>
            </w:tcBorders>
            <w:vAlign w:val="center"/>
          </w:tcPr>
          <w:p>
            <w:pPr>
              <w:autoSpaceDE w:val="0"/>
              <w:autoSpaceDN w:val="0"/>
              <w:adjustRightInd w:val="0"/>
              <w:spacing w:line="400" w:lineRule="exact"/>
              <w:rPr>
                <w:rFonts w:ascii="宋体" w:hAnsi="宋体" w:cs="宋体"/>
                <w:bCs/>
                <w:sz w:val="24"/>
                <w:szCs w:val="20"/>
                <w:lang w:val="zh-CN"/>
              </w:rPr>
            </w:pPr>
          </w:p>
        </w:tc>
        <w:tc>
          <w:tcPr>
            <w:tcW w:w="1384" w:type="dxa"/>
            <w:tcBorders>
              <w:left w:val="single" w:color="auto" w:sz="8" w:space="0"/>
              <w:bottom w:val="single" w:color="auto" w:sz="8" w:space="0"/>
              <w:right w:val="single" w:color="auto" w:sz="8" w:space="0"/>
            </w:tcBorders>
            <w:vAlign w:val="center"/>
          </w:tcPr>
          <w:p>
            <w:pPr>
              <w:autoSpaceDE w:val="0"/>
              <w:autoSpaceDN w:val="0"/>
              <w:adjustRightInd w:val="0"/>
              <w:spacing w:line="400" w:lineRule="exact"/>
              <w:jc w:val="center"/>
              <w:rPr>
                <w:rFonts w:ascii="宋体" w:hAnsi="宋体" w:cs="宋体"/>
                <w:bCs/>
                <w:sz w:val="24"/>
                <w:szCs w:val="20"/>
              </w:rPr>
            </w:pPr>
            <w:r>
              <w:rPr>
                <w:rFonts w:ascii="宋体" w:hAnsi="宋体" w:cs="宋体"/>
                <w:bCs/>
                <w:sz w:val="24"/>
                <w:szCs w:val="20"/>
              </w:rPr>
              <w:t>项目其他成员（6分）</w:t>
            </w:r>
          </w:p>
        </w:tc>
        <w:tc>
          <w:tcPr>
            <w:tcW w:w="6320" w:type="dxa"/>
            <w:tcBorders>
              <w:top w:val="single" w:color="auto" w:sz="8" w:space="0"/>
              <w:left w:val="single" w:color="auto" w:sz="8" w:space="0"/>
              <w:bottom w:val="single" w:color="auto" w:sz="8" w:space="0"/>
              <w:right w:val="single" w:color="auto" w:sz="12" w:space="0"/>
            </w:tcBorders>
            <w:vAlign w:val="center"/>
          </w:tcPr>
          <w:p>
            <w:pPr>
              <w:autoSpaceDE w:val="0"/>
              <w:autoSpaceDN w:val="0"/>
              <w:adjustRightInd w:val="0"/>
              <w:spacing w:line="400" w:lineRule="exact"/>
              <w:rPr>
                <w:rFonts w:ascii="宋体" w:hAnsi="宋体" w:cs="宋体"/>
                <w:b/>
                <w:bCs/>
                <w:sz w:val="24"/>
                <w:szCs w:val="20"/>
                <w:lang w:val="zh-CN"/>
              </w:rPr>
            </w:pPr>
            <w:r>
              <w:rPr>
                <w:rFonts w:ascii="宋体" w:hAnsi="宋体" w:cs="宋体"/>
                <w:b/>
                <w:bCs/>
                <w:sz w:val="24"/>
                <w:szCs w:val="20"/>
                <w:lang w:val="zh-CN"/>
              </w:rPr>
              <w:t>（2）项目组其他成员</w:t>
            </w:r>
            <w:r>
              <w:rPr>
                <w:rFonts w:ascii="宋体" w:hAnsi="宋体" w:cs="宋体"/>
                <w:b/>
                <w:sz w:val="24"/>
                <w:szCs w:val="20"/>
                <w:lang w:val="zh-CN"/>
              </w:rPr>
              <w:t>（本小项满分6分）</w:t>
            </w:r>
            <w:r>
              <w:rPr>
                <w:rFonts w:ascii="宋体" w:hAnsi="宋体" w:cs="宋体"/>
                <w:b/>
                <w:bCs/>
                <w:sz w:val="24"/>
                <w:szCs w:val="20"/>
                <w:lang w:val="zh-CN"/>
              </w:rPr>
              <w:t>：</w:t>
            </w:r>
          </w:p>
          <w:p>
            <w:pPr>
              <w:autoSpaceDE w:val="0"/>
              <w:autoSpaceDN w:val="0"/>
              <w:adjustRightInd w:val="0"/>
              <w:spacing w:line="400" w:lineRule="exact"/>
              <w:rPr>
                <w:rFonts w:ascii="宋体" w:hAnsi="宋体" w:cs="宋体"/>
                <w:bCs/>
                <w:sz w:val="24"/>
                <w:lang w:val="zh-CN"/>
              </w:rPr>
            </w:pPr>
            <w:r>
              <w:rPr>
                <w:rFonts w:hint="eastAsia" w:ascii="宋体" w:hAnsi="宋体" w:cs="宋体"/>
                <w:bCs/>
                <w:sz w:val="24"/>
                <w:lang w:val="zh-CN"/>
              </w:rPr>
              <w:t>项目组</w:t>
            </w:r>
            <w:r>
              <w:rPr>
                <w:rFonts w:ascii="宋体" w:hAnsi="宋体" w:cs="宋体"/>
                <w:bCs/>
                <w:sz w:val="24"/>
                <w:lang w:val="zh-CN"/>
              </w:rPr>
              <w:t>其他</w:t>
            </w:r>
            <w:r>
              <w:rPr>
                <w:rFonts w:hint="eastAsia" w:ascii="宋体" w:hAnsi="宋体" w:cs="宋体"/>
                <w:bCs/>
                <w:sz w:val="24"/>
                <w:lang w:val="zh-CN"/>
              </w:rPr>
              <w:t>人员需具备网络/信息安全等级测评师（中级及以上）资质及以下</w:t>
            </w:r>
            <w:r>
              <w:rPr>
                <w:rFonts w:ascii="宋体" w:hAnsi="宋体" w:cs="宋体"/>
                <w:bCs/>
                <w:sz w:val="24"/>
                <w:lang w:val="zh-CN"/>
              </w:rPr>
              <w:t xml:space="preserve">4项证书中其中的2项： </w:t>
            </w:r>
          </w:p>
          <w:p>
            <w:pPr>
              <w:autoSpaceDE w:val="0"/>
              <w:autoSpaceDN w:val="0"/>
              <w:adjustRightInd w:val="0"/>
              <w:spacing w:line="400" w:lineRule="exact"/>
              <w:rPr>
                <w:rFonts w:ascii="宋体" w:hAnsi="宋体" w:cs="宋体"/>
                <w:bCs/>
                <w:sz w:val="24"/>
                <w:lang w:val="zh-CN"/>
              </w:rPr>
            </w:pPr>
            <w:r>
              <w:rPr>
                <w:rFonts w:ascii="宋体" w:hAnsi="宋体" w:cs="宋体"/>
                <w:bCs/>
                <w:sz w:val="24"/>
                <w:lang w:val="zh-CN"/>
              </w:rPr>
              <w:t>1</w:t>
            </w:r>
            <w:r>
              <w:rPr>
                <w:rFonts w:hint="eastAsia" w:ascii="宋体" w:hAnsi="宋体" w:cs="宋体"/>
                <w:bCs/>
                <w:sz w:val="24"/>
                <w:lang w:val="zh-CN"/>
              </w:rPr>
              <w:t>、</w:t>
            </w:r>
            <w:r>
              <w:rPr>
                <w:rFonts w:ascii="宋体" w:hAnsi="宋体" w:cs="宋体"/>
                <w:bCs/>
                <w:sz w:val="24"/>
                <w:lang w:val="zh-CN"/>
              </w:rPr>
              <w:t>注册信息安全专业人员</w:t>
            </w:r>
            <w:r>
              <w:rPr>
                <w:rFonts w:hint="eastAsia" w:ascii="宋体" w:hAnsi="宋体" w:cs="宋体"/>
                <w:bCs/>
                <w:sz w:val="24"/>
                <w:lang w:val="zh-CN"/>
              </w:rPr>
              <w:t>（C</w:t>
            </w:r>
            <w:r>
              <w:rPr>
                <w:rFonts w:ascii="宋体" w:hAnsi="宋体" w:cs="宋体"/>
                <w:bCs/>
                <w:sz w:val="24"/>
                <w:lang w:val="zh-CN"/>
              </w:rPr>
              <w:t>ISP</w:t>
            </w:r>
            <w:r>
              <w:rPr>
                <w:rFonts w:hint="eastAsia" w:ascii="宋体" w:hAnsi="宋体" w:cs="宋体"/>
                <w:bCs/>
                <w:sz w:val="24"/>
                <w:lang w:val="zh-CN"/>
              </w:rPr>
              <w:t>）</w:t>
            </w:r>
            <w:r>
              <w:rPr>
                <w:rFonts w:ascii="宋体" w:hAnsi="宋体" w:cs="宋体"/>
                <w:bCs/>
                <w:sz w:val="24"/>
                <w:lang w:val="zh-CN"/>
              </w:rPr>
              <w:t>证书</w:t>
            </w:r>
            <w:r>
              <w:rPr>
                <w:rFonts w:hint="eastAsia" w:ascii="宋体" w:hAnsi="宋体" w:cs="宋体"/>
                <w:bCs/>
                <w:sz w:val="24"/>
                <w:lang w:val="zh-CN"/>
              </w:rPr>
              <w:t>。</w:t>
            </w:r>
          </w:p>
          <w:p>
            <w:pPr>
              <w:autoSpaceDE w:val="0"/>
              <w:autoSpaceDN w:val="0"/>
              <w:adjustRightInd w:val="0"/>
              <w:spacing w:line="400" w:lineRule="exact"/>
              <w:rPr>
                <w:rFonts w:ascii="宋体" w:hAnsi="宋体" w:cs="宋体"/>
                <w:bCs/>
                <w:sz w:val="24"/>
                <w:lang w:val="zh-CN"/>
              </w:rPr>
            </w:pPr>
            <w:r>
              <w:rPr>
                <w:rFonts w:hint="eastAsia" w:ascii="宋体" w:hAnsi="宋体" w:cs="宋体"/>
                <w:bCs/>
                <w:sz w:val="24"/>
                <w:lang w:val="zh-CN"/>
              </w:rPr>
              <w:t>2、</w:t>
            </w:r>
            <w:r>
              <w:rPr>
                <w:rFonts w:ascii="宋体" w:hAnsi="宋体" w:cs="宋体"/>
                <w:bCs/>
                <w:sz w:val="24"/>
                <w:lang w:val="zh-CN"/>
              </w:rPr>
              <w:t>ISO/IEC 20000 Auditor证书</w:t>
            </w:r>
            <w:r>
              <w:rPr>
                <w:rFonts w:hint="eastAsia" w:ascii="宋体" w:hAnsi="宋体" w:cs="宋体"/>
                <w:bCs/>
                <w:sz w:val="24"/>
                <w:lang w:val="zh-CN"/>
              </w:rPr>
              <w:t>。</w:t>
            </w:r>
          </w:p>
          <w:p>
            <w:pPr>
              <w:autoSpaceDE w:val="0"/>
              <w:autoSpaceDN w:val="0"/>
              <w:adjustRightInd w:val="0"/>
              <w:spacing w:line="400" w:lineRule="exact"/>
              <w:rPr>
                <w:rFonts w:ascii="宋体" w:hAnsi="宋体" w:cs="宋体"/>
                <w:bCs/>
                <w:sz w:val="24"/>
                <w:lang w:val="zh-CN"/>
              </w:rPr>
            </w:pPr>
            <w:r>
              <w:rPr>
                <w:rFonts w:hint="eastAsia" w:ascii="宋体" w:hAnsi="宋体" w:cs="宋体"/>
                <w:bCs/>
                <w:sz w:val="24"/>
                <w:lang w:val="zh-CN"/>
              </w:rPr>
              <w:t>3、</w:t>
            </w:r>
            <w:r>
              <w:rPr>
                <w:rFonts w:ascii="宋体" w:hAnsi="宋体" w:cs="宋体"/>
                <w:bCs/>
                <w:sz w:val="24"/>
                <w:lang w:val="zh-CN"/>
              </w:rPr>
              <w:t>信息安全管理体系审核员证书</w:t>
            </w:r>
            <w:r>
              <w:rPr>
                <w:rFonts w:hint="eastAsia" w:ascii="宋体" w:hAnsi="宋体" w:cs="宋体"/>
                <w:bCs/>
                <w:sz w:val="24"/>
                <w:lang w:val="zh-CN"/>
              </w:rPr>
              <w:t>。</w:t>
            </w:r>
          </w:p>
          <w:p>
            <w:pPr>
              <w:autoSpaceDE w:val="0"/>
              <w:autoSpaceDN w:val="0"/>
              <w:adjustRightInd w:val="0"/>
              <w:spacing w:line="400" w:lineRule="exact"/>
              <w:rPr>
                <w:rFonts w:ascii="宋体" w:hAnsi="宋体" w:cs="宋体"/>
                <w:bCs/>
                <w:sz w:val="24"/>
                <w:lang w:val="zh-CN"/>
              </w:rPr>
            </w:pPr>
            <w:r>
              <w:rPr>
                <w:rFonts w:hint="eastAsia" w:ascii="宋体" w:hAnsi="宋体" w:cs="宋体"/>
                <w:bCs/>
                <w:sz w:val="24"/>
                <w:lang w:val="zh-CN"/>
              </w:rPr>
              <w:t>4、</w:t>
            </w:r>
            <w:r>
              <w:rPr>
                <w:rFonts w:ascii="宋体" w:hAnsi="宋体" w:cs="宋体"/>
                <w:bCs/>
                <w:sz w:val="24"/>
                <w:lang w:val="zh-CN"/>
              </w:rPr>
              <w:t>RHCE证书(Linux认证)或MCP证书(Microsoft专家认证)</w:t>
            </w:r>
            <w:r>
              <w:rPr>
                <w:rFonts w:hint="eastAsia" w:ascii="宋体" w:hAnsi="宋体" w:cs="宋体"/>
                <w:bCs/>
                <w:sz w:val="24"/>
                <w:lang w:val="zh-CN"/>
              </w:rPr>
              <w:t>。</w:t>
            </w:r>
          </w:p>
          <w:p>
            <w:pPr>
              <w:autoSpaceDE w:val="0"/>
              <w:autoSpaceDN w:val="0"/>
              <w:adjustRightInd w:val="0"/>
              <w:spacing w:line="400" w:lineRule="exact"/>
              <w:rPr>
                <w:rFonts w:ascii="宋体" w:hAnsi="宋体" w:cs="宋体"/>
                <w:bCs/>
                <w:sz w:val="24"/>
                <w:szCs w:val="20"/>
                <w:lang w:val="zh-CN"/>
              </w:rPr>
            </w:pPr>
            <w:r>
              <w:rPr>
                <w:rFonts w:ascii="宋体" w:hAnsi="宋体" w:cs="宋体"/>
                <w:bCs/>
                <w:sz w:val="24"/>
                <w:szCs w:val="20"/>
                <w:lang w:val="zh-CN"/>
              </w:rPr>
              <w:t>每提供一人满足得2分，最高得6分，否则不得分。</w:t>
            </w:r>
          </w:p>
          <w:p>
            <w:pPr>
              <w:autoSpaceDE w:val="0"/>
              <w:autoSpaceDN w:val="0"/>
              <w:adjustRightInd w:val="0"/>
              <w:spacing w:line="400" w:lineRule="exact"/>
              <w:rPr>
                <w:rFonts w:ascii="宋体" w:hAnsi="宋体" w:cs="宋体"/>
                <w:sz w:val="24"/>
                <w:szCs w:val="20"/>
                <w:lang w:val="zh-CN"/>
              </w:rPr>
            </w:pPr>
            <w:r>
              <w:rPr>
                <w:rFonts w:ascii="宋体" w:hAnsi="宋体" w:cs="宋体"/>
                <w:sz w:val="24"/>
                <w:szCs w:val="20"/>
                <w:lang w:val="zh-CN"/>
              </w:rPr>
              <w:t>注：</w:t>
            </w:r>
          </w:p>
          <w:p>
            <w:pPr>
              <w:autoSpaceDE w:val="0"/>
              <w:autoSpaceDN w:val="0"/>
              <w:adjustRightInd w:val="0"/>
              <w:spacing w:line="400" w:lineRule="exact"/>
              <w:rPr>
                <w:rFonts w:ascii="宋体" w:hAnsi="宋体" w:cs="宋体"/>
                <w:sz w:val="24"/>
                <w:szCs w:val="20"/>
                <w:lang w:val="zh-CN"/>
              </w:rPr>
            </w:pPr>
            <w:r>
              <w:rPr>
                <w:rFonts w:ascii="宋体" w:hAnsi="宋体" w:cs="宋体"/>
                <w:sz w:val="24"/>
                <w:szCs w:val="20"/>
                <w:lang w:val="zh-CN"/>
              </w:rPr>
              <w:t>1）同一证书不累计得分</w:t>
            </w:r>
            <w:r>
              <w:rPr>
                <w:rFonts w:ascii="宋体" w:hAnsi="宋体" w:cs="宋体"/>
                <w:bCs/>
                <w:sz w:val="24"/>
                <w:szCs w:val="20"/>
                <w:lang w:val="zh-CN"/>
              </w:rPr>
              <w:t>；</w:t>
            </w:r>
          </w:p>
          <w:p>
            <w:pPr>
              <w:autoSpaceDE w:val="0"/>
              <w:autoSpaceDN w:val="0"/>
              <w:adjustRightInd w:val="0"/>
              <w:spacing w:line="400" w:lineRule="exact"/>
              <w:rPr>
                <w:rFonts w:ascii="宋体" w:hAnsi="宋体" w:cs="宋体"/>
                <w:bCs/>
                <w:sz w:val="24"/>
                <w:szCs w:val="20"/>
                <w:lang w:val="zh-CN"/>
              </w:rPr>
            </w:pPr>
            <w:r>
              <w:rPr>
                <w:rFonts w:ascii="宋体" w:hAnsi="宋体" w:cs="宋体"/>
                <w:sz w:val="24"/>
                <w:szCs w:val="20"/>
                <w:lang w:val="zh-CN"/>
              </w:rPr>
              <w:t>2）需提供证书原件扫描件或复印件。</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0" w:type="dxa"/>
            <w:bottom w:w="0" w:type="dxa"/>
            <w:right w:w="0" w:type="dxa"/>
          </w:tblCellMar>
        </w:tblPrEx>
        <w:trPr>
          <w:trHeight w:val="900" w:hRule="atLeast"/>
          <w:jc w:val="center"/>
        </w:trPr>
        <w:tc>
          <w:tcPr>
            <w:tcW w:w="1368" w:type="dxa"/>
            <w:vMerge w:val="restart"/>
            <w:tcBorders>
              <w:left w:val="single" w:color="auto" w:sz="12" w:space="0"/>
              <w:right w:val="single" w:color="auto" w:sz="8" w:space="0"/>
            </w:tcBorders>
            <w:vAlign w:val="center"/>
          </w:tcPr>
          <w:p>
            <w:pPr>
              <w:autoSpaceDE w:val="0"/>
              <w:autoSpaceDN w:val="0"/>
              <w:adjustRightInd w:val="0"/>
              <w:spacing w:line="400" w:lineRule="exact"/>
              <w:jc w:val="center"/>
              <w:rPr>
                <w:rFonts w:ascii="宋体" w:hAnsi="宋体" w:cs="宋体"/>
                <w:bCs/>
                <w:sz w:val="24"/>
                <w:szCs w:val="20"/>
                <w:lang w:val="zh-CN"/>
              </w:rPr>
            </w:pPr>
            <w:r>
              <w:rPr>
                <w:rFonts w:ascii="宋体" w:hAnsi="宋体" w:cs="宋体"/>
                <w:bCs/>
                <w:sz w:val="24"/>
                <w:szCs w:val="20"/>
                <w:lang w:val="zh-CN"/>
              </w:rPr>
              <w:t>技术方案（22分）</w:t>
            </w:r>
          </w:p>
        </w:tc>
        <w:tc>
          <w:tcPr>
            <w:tcW w:w="1384" w:type="dxa"/>
            <w:tcBorders>
              <w:left w:val="single" w:color="auto" w:sz="8" w:space="0"/>
              <w:bottom w:val="single" w:color="auto" w:sz="8" w:space="0"/>
              <w:right w:val="single" w:color="auto" w:sz="8" w:space="0"/>
            </w:tcBorders>
            <w:vAlign w:val="center"/>
          </w:tcPr>
          <w:p>
            <w:pPr>
              <w:autoSpaceDE w:val="0"/>
              <w:autoSpaceDN w:val="0"/>
              <w:adjustRightInd w:val="0"/>
              <w:spacing w:line="400" w:lineRule="exact"/>
              <w:jc w:val="center"/>
              <w:rPr>
                <w:rFonts w:ascii="宋体" w:hAnsi="宋体" w:cs="宋体"/>
                <w:bCs/>
                <w:sz w:val="24"/>
                <w:szCs w:val="20"/>
                <w:lang w:val="zh-CN"/>
              </w:rPr>
            </w:pPr>
            <w:r>
              <w:rPr>
                <w:rFonts w:ascii="宋体" w:hAnsi="宋体" w:cs="宋体"/>
                <w:bCs/>
                <w:sz w:val="24"/>
                <w:szCs w:val="20"/>
                <w:lang w:val="zh-CN"/>
              </w:rPr>
              <w:t>测评实施方案（8分）</w:t>
            </w:r>
          </w:p>
        </w:tc>
        <w:tc>
          <w:tcPr>
            <w:tcW w:w="6320" w:type="dxa"/>
            <w:tcBorders>
              <w:top w:val="single" w:color="auto" w:sz="8" w:space="0"/>
              <w:left w:val="single" w:color="auto" w:sz="8" w:space="0"/>
              <w:bottom w:val="single" w:color="auto" w:sz="8" w:space="0"/>
              <w:right w:val="single" w:color="auto" w:sz="12" w:space="0"/>
            </w:tcBorders>
            <w:vAlign w:val="center"/>
          </w:tcPr>
          <w:p>
            <w:pPr>
              <w:autoSpaceDE w:val="0"/>
              <w:autoSpaceDN w:val="0"/>
              <w:adjustRightInd w:val="0"/>
              <w:spacing w:line="400" w:lineRule="exact"/>
              <w:rPr>
                <w:rFonts w:ascii="宋体" w:hAnsi="宋体" w:cs="宋体"/>
                <w:b/>
                <w:bCs/>
                <w:sz w:val="24"/>
                <w:szCs w:val="20"/>
                <w:lang w:val="zh-CN"/>
              </w:rPr>
            </w:pPr>
            <w:r>
              <w:rPr>
                <w:rFonts w:ascii="宋体" w:hAnsi="宋体" w:cs="宋体"/>
                <w:b/>
                <w:bCs/>
                <w:sz w:val="24"/>
                <w:szCs w:val="20"/>
                <w:lang w:val="zh-CN"/>
              </w:rPr>
              <w:t>测评实施方案（本小项满分8分）：</w:t>
            </w:r>
          </w:p>
          <w:p>
            <w:pPr>
              <w:autoSpaceDE w:val="0"/>
              <w:autoSpaceDN w:val="0"/>
              <w:adjustRightInd w:val="0"/>
              <w:spacing w:line="400" w:lineRule="exact"/>
              <w:rPr>
                <w:rFonts w:ascii="宋体" w:hAnsi="宋体" w:cs="宋体"/>
                <w:bCs/>
                <w:sz w:val="24"/>
                <w:szCs w:val="20"/>
                <w:lang w:val="zh-CN"/>
              </w:rPr>
            </w:pPr>
            <w:r>
              <w:rPr>
                <w:rFonts w:ascii="宋体" w:hAnsi="宋体" w:cs="宋体"/>
                <w:bCs/>
                <w:sz w:val="24"/>
                <w:szCs w:val="20"/>
                <w:lang w:val="zh-CN"/>
              </w:rPr>
              <w:t>由评委对各投标人测评技术方案进行综合评分，评分细则如下：</w:t>
            </w:r>
          </w:p>
          <w:p>
            <w:pPr>
              <w:autoSpaceDE w:val="0"/>
              <w:autoSpaceDN w:val="0"/>
              <w:adjustRightInd w:val="0"/>
              <w:spacing w:line="400" w:lineRule="exact"/>
              <w:rPr>
                <w:rFonts w:ascii="宋体" w:hAnsi="宋体" w:cs="宋体"/>
                <w:bCs/>
                <w:sz w:val="24"/>
                <w:szCs w:val="20"/>
                <w:lang w:val="zh-CN"/>
              </w:rPr>
            </w:pPr>
            <w:r>
              <w:rPr>
                <w:rFonts w:ascii="宋体" w:hAnsi="宋体" w:cs="宋体"/>
                <w:bCs/>
                <w:sz w:val="24"/>
                <w:szCs w:val="20"/>
                <w:lang w:val="zh-CN"/>
              </w:rPr>
              <w:t>1、</w:t>
            </w:r>
            <w:r>
              <w:rPr>
                <w:rFonts w:ascii="宋体" w:hAnsi="宋体" w:cs="宋体"/>
                <w:bCs/>
                <w:sz w:val="24"/>
                <w:szCs w:val="20"/>
                <w:lang w:val="zh-CN"/>
              </w:rPr>
              <w:tab/>
            </w:r>
            <w:r>
              <w:rPr>
                <w:rFonts w:ascii="宋体" w:hAnsi="宋体" w:cs="宋体"/>
                <w:bCs/>
                <w:sz w:val="24"/>
                <w:szCs w:val="20"/>
                <w:lang w:val="zh-CN"/>
              </w:rPr>
              <w:t>测评实施技术方案的实施计划，测评方案，风险说明及风险规避处置措施比较完整的，得6-8分；</w:t>
            </w:r>
          </w:p>
          <w:p>
            <w:pPr>
              <w:autoSpaceDE w:val="0"/>
              <w:autoSpaceDN w:val="0"/>
              <w:adjustRightInd w:val="0"/>
              <w:spacing w:line="400" w:lineRule="exact"/>
              <w:rPr>
                <w:rFonts w:ascii="宋体" w:hAnsi="宋体" w:cs="宋体"/>
                <w:bCs/>
                <w:sz w:val="24"/>
                <w:szCs w:val="20"/>
                <w:lang w:val="zh-CN"/>
              </w:rPr>
            </w:pPr>
            <w:r>
              <w:rPr>
                <w:rFonts w:ascii="宋体" w:hAnsi="宋体" w:cs="宋体"/>
                <w:bCs/>
                <w:sz w:val="24"/>
                <w:szCs w:val="20"/>
                <w:lang w:val="zh-CN"/>
              </w:rPr>
              <w:t>2、</w:t>
            </w:r>
            <w:r>
              <w:rPr>
                <w:rFonts w:ascii="宋体" w:hAnsi="宋体" w:cs="宋体"/>
                <w:bCs/>
                <w:sz w:val="24"/>
                <w:szCs w:val="20"/>
                <w:lang w:val="zh-CN"/>
              </w:rPr>
              <w:tab/>
            </w:r>
            <w:r>
              <w:rPr>
                <w:rFonts w:ascii="宋体" w:hAnsi="宋体" w:cs="宋体"/>
                <w:bCs/>
                <w:sz w:val="24"/>
                <w:szCs w:val="20"/>
                <w:lang w:val="zh-CN"/>
              </w:rPr>
              <w:t>测评实施技术方案的实施计划，测评方案，风险说明及风险规避处置措施比较一般的，得3-5分；</w:t>
            </w:r>
          </w:p>
          <w:p>
            <w:pPr>
              <w:autoSpaceDE w:val="0"/>
              <w:autoSpaceDN w:val="0"/>
              <w:adjustRightInd w:val="0"/>
              <w:spacing w:line="400" w:lineRule="exact"/>
              <w:rPr>
                <w:rFonts w:ascii="宋体" w:hAnsi="宋体" w:cs="宋体"/>
                <w:bCs/>
                <w:sz w:val="24"/>
                <w:szCs w:val="20"/>
                <w:lang w:val="zh-CN"/>
              </w:rPr>
            </w:pPr>
            <w:r>
              <w:rPr>
                <w:rFonts w:ascii="宋体" w:hAnsi="宋体" w:cs="宋体"/>
                <w:bCs/>
                <w:sz w:val="24"/>
                <w:szCs w:val="20"/>
                <w:lang w:val="zh-CN"/>
              </w:rPr>
              <w:t>3、</w:t>
            </w:r>
            <w:r>
              <w:rPr>
                <w:rFonts w:ascii="宋体" w:hAnsi="宋体" w:cs="宋体"/>
                <w:bCs/>
                <w:sz w:val="24"/>
                <w:szCs w:val="20"/>
                <w:lang w:val="zh-CN"/>
              </w:rPr>
              <w:tab/>
            </w:r>
            <w:r>
              <w:rPr>
                <w:rFonts w:ascii="宋体" w:hAnsi="宋体" w:cs="宋体"/>
                <w:bCs/>
                <w:sz w:val="24"/>
                <w:szCs w:val="20"/>
                <w:lang w:val="zh-CN"/>
              </w:rPr>
              <w:t>测评实施技术方案的实施计划，测评方案，风险说明及风险规避处置措施比较简陋的，得0-2分；</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0" w:type="dxa"/>
            <w:bottom w:w="0" w:type="dxa"/>
            <w:right w:w="0" w:type="dxa"/>
          </w:tblCellMar>
        </w:tblPrEx>
        <w:trPr>
          <w:trHeight w:val="900" w:hRule="atLeast"/>
          <w:jc w:val="center"/>
        </w:trPr>
        <w:tc>
          <w:tcPr>
            <w:tcW w:w="1368" w:type="dxa"/>
            <w:vMerge w:val="continue"/>
            <w:tcBorders>
              <w:left w:val="single" w:color="auto" w:sz="12" w:space="0"/>
              <w:right w:val="single" w:color="auto" w:sz="8" w:space="0"/>
            </w:tcBorders>
            <w:vAlign w:val="center"/>
          </w:tcPr>
          <w:p>
            <w:pPr>
              <w:autoSpaceDE w:val="0"/>
              <w:autoSpaceDN w:val="0"/>
              <w:adjustRightInd w:val="0"/>
              <w:spacing w:line="400" w:lineRule="exact"/>
              <w:rPr>
                <w:rFonts w:ascii="宋体" w:hAnsi="宋体" w:cs="宋体"/>
                <w:bCs/>
                <w:sz w:val="24"/>
                <w:szCs w:val="20"/>
                <w:lang w:val="zh-CN"/>
              </w:rPr>
            </w:pPr>
          </w:p>
        </w:tc>
        <w:tc>
          <w:tcPr>
            <w:tcW w:w="1384" w:type="dxa"/>
            <w:tcBorders>
              <w:left w:val="single" w:color="auto" w:sz="8" w:space="0"/>
              <w:bottom w:val="single" w:color="auto" w:sz="8" w:space="0"/>
              <w:right w:val="single" w:color="auto" w:sz="8" w:space="0"/>
            </w:tcBorders>
            <w:vAlign w:val="center"/>
          </w:tcPr>
          <w:p>
            <w:pPr>
              <w:autoSpaceDE w:val="0"/>
              <w:autoSpaceDN w:val="0"/>
              <w:adjustRightInd w:val="0"/>
              <w:spacing w:line="400" w:lineRule="exact"/>
              <w:jc w:val="center"/>
              <w:rPr>
                <w:rFonts w:ascii="宋体" w:hAnsi="宋体" w:cs="宋体"/>
                <w:sz w:val="32"/>
                <w:szCs w:val="20"/>
              </w:rPr>
            </w:pPr>
            <w:r>
              <w:rPr>
                <w:rFonts w:ascii="宋体" w:hAnsi="宋体" w:cs="宋体"/>
                <w:bCs/>
                <w:sz w:val="24"/>
                <w:szCs w:val="20"/>
                <w:lang w:val="zh-CN"/>
              </w:rPr>
              <w:t>项目管理方案（6分）</w:t>
            </w:r>
          </w:p>
        </w:tc>
        <w:tc>
          <w:tcPr>
            <w:tcW w:w="6320" w:type="dxa"/>
            <w:tcBorders>
              <w:top w:val="single" w:color="auto" w:sz="8" w:space="0"/>
              <w:left w:val="single" w:color="auto" w:sz="8" w:space="0"/>
              <w:bottom w:val="single" w:color="auto" w:sz="8" w:space="0"/>
              <w:right w:val="single" w:color="auto" w:sz="12" w:space="0"/>
            </w:tcBorders>
            <w:vAlign w:val="center"/>
          </w:tcPr>
          <w:p>
            <w:pPr>
              <w:autoSpaceDE w:val="0"/>
              <w:autoSpaceDN w:val="0"/>
              <w:adjustRightInd w:val="0"/>
              <w:spacing w:line="400" w:lineRule="exact"/>
              <w:rPr>
                <w:rFonts w:ascii="宋体" w:hAnsi="宋体" w:cs="宋体"/>
                <w:b/>
                <w:bCs/>
                <w:sz w:val="24"/>
                <w:szCs w:val="20"/>
                <w:lang w:val="zh-CN"/>
              </w:rPr>
            </w:pPr>
            <w:r>
              <w:rPr>
                <w:rFonts w:ascii="宋体" w:hAnsi="宋体" w:cs="宋体"/>
                <w:b/>
                <w:bCs/>
                <w:sz w:val="24"/>
                <w:szCs w:val="20"/>
                <w:lang w:val="zh-CN"/>
              </w:rPr>
              <w:t>项目管理方案（本小项满分6分）：</w:t>
            </w:r>
          </w:p>
          <w:p>
            <w:pPr>
              <w:autoSpaceDE w:val="0"/>
              <w:autoSpaceDN w:val="0"/>
              <w:adjustRightInd w:val="0"/>
              <w:spacing w:line="400" w:lineRule="exact"/>
              <w:rPr>
                <w:rFonts w:ascii="宋体" w:hAnsi="宋体" w:cs="宋体"/>
                <w:bCs/>
                <w:sz w:val="24"/>
                <w:szCs w:val="20"/>
                <w:lang w:val="zh-CN"/>
              </w:rPr>
            </w:pPr>
            <w:r>
              <w:rPr>
                <w:rFonts w:ascii="宋体" w:hAnsi="宋体" w:cs="宋体"/>
                <w:bCs/>
                <w:sz w:val="24"/>
                <w:szCs w:val="20"/>
                <w:lang w:val="zh-CN"/>
              </w:rPr>
              <w:t>由评委对各投标人针对整个项目管理的方案进行综合评分，评分细则如下：</w:t>
            </w:r>
          </w:p>
          <w:p>
            <w:pPr>
              <w:autoSpaceDE w:val="0"/>
              <w:autoSpaceDN w:val="0"/>
              <w:adjustRightInd w:val="0"/>
              <w:spacing w:line="400" w:lineRule="exact"/>
              <w:rPr>
                <w:rFonts w:ascii="宋体" w:hAnsi="宋体" w:cs="宋体"/>
                <w:bCs/>
                <w:sz w:val="24"/>
                <w:szCs w:val="20"/>
                <w:lang w:val="zh-CN"/>
              </w:rPr>
            </w:pPr>
            <w:r>
              <w:rPr>
                <w:rFonts w:ascii="宋体" w:hAnsi="宋体" w:cs="宋体"/>
                <w:bCs/>
                <w:sz w:val="24"/>
                <w:szCs w:val="20"/>
                <w:lang w:val="zh-CN"/>
              </w:rPr>
              <w:t>1、项目管理方案中的计划、沟通、变更、风险、质量、问题管理方案，比较详细的得5-6分；</w:t>
            </w:r>
          </w:p>
          <w:p>
            <w:pPr>
              <w:autoSpaceDE w:val="0"/>
              <w:autoSpaceDN w:val="0"/>
              <w:adjustRightInd w:val="0"/>
              <w:spacing w:line="400" w:lineRule="exact"/>
              <w:rPr>
                <w:rFonts w:ascii="宋体" w:hAnsi="宋体" w:cs="宋体"/>
                <w:bCs/>
                <w:sz w:val="24"/>
                <w:szCs w:val="20"/>
                <w:lang w:val="zh-CN"/>
              </w:rPr>
            </w:pPr>
            <w:r>
              <w:rPr>
                <w:rFonts w:ascii="宋体" w:hAnsi="宋体" w:cs="宋体"/>
                <w:bCs/>
                <w:sz w:val="24"/>
                <w:szCs w:val="20"/>
                <w:lang w:val="zh-CN"/>
              </w:rPr>
              <w:t>2、项目管理方案中的计划、沟通、变更、风险、质量、问题管理方案，比较一般的得3-4分；</w:t>
            </w:r>
          </w:p>
          <w:p>
            <w:pPr>
              <w:autoSpaceDE w:val="0"/>
              <w:autoSpaceDN w:val="0"/>
              <w:adjustRightInd w:val="0"/>
              <w:spacing w:line="400" w:lineRule="exact"/>
              <w:rPr>
                <w:rFonts w:ascii="宋体" w:hAnsi="宋体" w:cs="宋体"/>
                <w:bCs/>
                <w:sz w:val="24"/>
                <w:szCs w:val="20"/>
                <w:lang w:val="zh-CN"/>
              </w:rPr>
            </w:pPr>
            <w:r>
              <w:rPr>
                <w:rFonts w:ascii="宋体" w:hAnsi="宋体" w:cs="宋体"/>
                <w:bCs/>
                <w:sz w:val="24"/>
                <w:szCs w:val="20"/>
                <w:lang w:val="zh-CN"/>
              </w:rPr>
              <w:t>3、项目管理方案中的计划、沟通、变更、风险、质量、问题管理方案内容粗略简单的得0-2分。</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0" w:type="dxa"/>
            <w:bottom w:w="0" w:type="dxa"/>
            <w:right w:w="0" w:type="dxa"/>
          </w:tblCellMar>
        </w:tblPrEx>
        <w:trPr>
          <w:trHeight w:val="900" w:hRule="atLeast"/>
          <w:jc w:val="center"/>
        </w:trPr>
        <w:tc>
          <w:tcPr>
            <w:tcW w:w="1368" w:type="dxa"/>
            <w:vMerge w:val="continue"/>
            <w:tcBorders>
              <w:left w:val="single" w:color="auto" w:sz="12" w:space="0"/>
              <w:right w:val="single" w:color="auto" w:sz="8" w:space="0"/>
            </w:tcBorders>
            <w:vAlign w:val="center"/>
          </w:tcPr>
          <w:p>
            <w:pPr>
              <w:autoSpaceDE w:val="0"/>
              <w:autoSpaceDN w:val="0"/>
              <w:adjustRightInd w:val="0"/>
              <w:spacing w:line="400" w:lineRule="exact"/>
              <w:rPr>
                <w:rFonts w:ascii="宋体" w:hAnsi="宋体" w:cs="宋体"/>
                <w:bCs/>
                <w:sz w:val="24"/>
                <w:szCs w:val="20"/>
                <w:lang w:val="zh-CN"/>
              </w:rPr>
            </w:pPr>
          </w:p>
        </w:tc>
        <w:tc>
          <w:tcPr>
            <w:tcW w:w="1384" w:type="dxa"/>
            <w:tcBorders>
              <w:left w:val="single" w:color="auto" w:sz="8" w:space="0"/>
              <w:right w:val="single" w:color="auto" w:sz="8" w:space="0"/>
            </w:tcBorders>
            <w:vAlign w:val="center"/>
          </w:tcPr>
          <w:p>
            <w:pPr>
              <w:autoSpaceDE w:val="0"/>
              <w:autoSpaceDN w:val="0"/>
              <w:adjustRightInd w:val="0"/>
              <w:spacing w:line="400" w:lineRule="exact"/>
              <w:jc w:val="center"/>
              <w:rPr>
                <w:rFonts w:ascii="宋体" w:hAnsi="宋体" w:cs="宋体"/>
                <w:bCs/>
                <w:sz w:val="24"/>
                <w:szCs w:val="20"/>
                <w:lang w:val="zh-CN"/>
              </w:rPr>
            </w:pPr>
            <w:r>
              <w:rPr>
                <w:rFonts w:ascii="宋体" w:hAnsi="宋体" w:cs="宋体"/>
                <w:bCs/>
                <w:sz w:val="24"/>
                <w:szCs w:val="20"/>
                <w:lang w:val="zh-CN"/>
              </w:rPr>
              <w:t>项目服务承诺（8分）</w:t>
            </w:r>
          </w:p>
        </w:tc>
        <w:tc>
          <w:tcPr>
            <w:tcW w:w="6320" w:type="dxa"/>
            <w:tcBorders>
              <w:top w:val="single" w:color="auto" w:sz="8" w:space="0"/>
              <w:left w:val="single" w:color="auto" w:sz="8" w:space="0"/>
              <w:bottom w:val="single" w:color="auto" w:sz="8" w:space="0"/>
              <w:right w:val="single" w:color="auto" w:sz="12" w:space="0"/>
            </w:tcBorders>
            <w:vAlign w:val="center"/>
          </w:tcPr>
          <w:p>
            <w:pPr>
              <w:autoSpaceDE w:val="0"/>
              <w:autoSpaceDN w:val="0"/>
              <w:adjustRightInd w:val="0"/>
              <w:spacing w:line="400" w:lineRule="exact"/>
              <w:rPr>
                <w:rFonts w:ascii="宋体" w:hAnsi="宋体" w:cs="宋体"/>
                <w:b/>
                <w:bCs/>
                <w:sz w:val="24"/>
                <w:szCs w:val="20"/>
                <w:lang w:val="zh-CN"/>
              </w:rPr>
            </w:pPr>
            <w:r>
              <w:rPr>
                <w:rFonts w:ascii="宋体" w:hAnsi="宋体" w:cs="宋体"/>
                <w:b/>
                <w:bCs/>
                <w:sz w:val="24"/>
                <w:szCs w:val="20"/>
                <w:lang w:val="zh-CN"/>
              </w:rPr>
              <w:t>项目服务承诺（本小项满分8分）：</w:t>
            </w:r>
          </w:p>
          <w:p>
            <w:pPr>
              <w:autoSpaceDE w:val="0"/>
              <w:autoSpaceDN w:val="0"/>
              <w:adjustRightInd w:val="0"/>
              <w:spacing w:line="400" w:lineRule="exact"/>
              <w:rPr>
                <w:rFonts w:ascii="宋体" w:hAnsi="宋体" w:cs="宋体"/>
                <w:bCs/>
                <w:sz w:val="24"/>
                <w:szCs w:val="20"/>
                <w:lang w:val="zh-CN"/>
              </w:rPr>
            </w:pPr>
            <w:r>
              <w:rPr>
                <w:rFonts w:ascii="宋体" w:hAnsi="宋体" w:cs="宋体"/>
                <w:bCs/>
                <w:sz w:val="24"/>
                <w:szCs w:val="20"/>
                <w:lang w:val="zh-CN"/>
              </w:rPr>
              <w:t>由评委对各投标人针对整个项目服务承诺方案进行综合评分，评分细则如下：</w:t>
            </w:r>
          </w:p>
          <w:p>
            <w:pPr>
              <w:autoSpaceDE w:val="0"/>
              <w:autoSpaceDN w:val="0"/>
              <w:adjustRightInd w:val="0"/>
              <w:spacing w:line="400" w:lineRule="exact"/>
              <w:rPr>
                <w:rFonts w:ascii="宋体" w:hAnsi="宋体" w:cs="宋体"/>
                <w:bCs/>
                <w:sz w:val="24"/>
                <w:szCs w:val="20"/>
                <w:lang w:val="zh-CN"/>
              </w:rPr>
            </w:pPr>
            <w:r>
              <w:rPr>
                <w:rFonts w:ascii="宋体" w:hAnsi="宋体" w:cs="宋体"/>
                <w:bCs/>
                <w:sz w:val="24"/>
                <w:szCs w:val="20"/>
                <w:lang w:val="zh-CN"/>
              </w:rPr>
              <w:t>1、</w:t>
            </w:r>
            <w:r>
              <w:rPr>
                <w:rFonts w:ascii="宋体" w:hAnsi="宋体" w:cs="宋体"/>
                <w:bCs/>
                <w:sz w:val="24"/>
                <w:szCs w:val="20"/>
                <w:lang w:val="zh-CN"/>
              </w:rPr>
              <w:tab/>
            </w:r>
            <w:r>
              <w:rPr>
                <w:rFonts w:ascii="宋体" w:hAnsi="宋体" w:cs="宋体"/>
                <w:bCs/>
                <w:sz w:val="24"/>
                <w:szCs w:val="20"/>
                <w:lang w:val="zh-CN"/>
              </w:rPr>
              <w:t>投标人提供的项目服务承诺方案及培训方案比较详细清晰的，得5-8分；</w:t>
            </w:r>
          </w:p>
          <w:p>
            <w:pPr>
              <w:autoSpaceDE w:val="0"/>
              <w:autoSpaceDN w:val="0"/>
              <w:adjustRightInd w:val="0"/>
              <w:spacing w:line="400" w:lineRule="exact"/>
              <w:rPr>
                <w:rFonts w:ascii="宋体" w:hAnsi="宋体" w:cs="宋体"/>
                <w:bCs/>
                <w:sz w:val="24"/>
                <w:szCs w:val="20"/>
                <w:lang w:val="zh-CN"/>
              </w:rPr>
            </w:pPr>
            <w:r>
              <w:rPr>
                <w:rFonts w:ascii="宋体" w:hAnsi="宋体" w:cs="宋体"/>
                <w:bCs/>
                <w:sz w:val="24"/>
                <w:szCs w:val="20"/>
                <w:lang w:val="zh-CN"/>
              </w:rPr>
              <w:t>2、投标人提供的项目服务承诺方案及培训方案比较一般的，得3-4分；</w:t>
            </w:r>
          </w:p>
          <w:p>
            <w:pPr>
              <w:autoSpaceDE w:val="0"/>
              <w:autoSpaceDN w:val="0"/>
              <w:adjustRightInd w:val="0"/>
              <w:spacing w:line="400" w:lineRule="exact"/>
              <w:rPr>
                <w:rFonts w:ascii="宋体" w:hAnsi="宋体" w:cs="宋体"/>
                <w:bCs/>
                <w:sz w:val="24"/>
                <w:szCs w:val="20"/>
                <w:lang w:val="zh-CN"/>
              </w:rPr>
            </w:pPr>
            <w:r>
              <w:rPr>
                <w:rFonts w:ascii="宋体" w:hAnsi="宋体" w:cs="宋体"/>
                <w:bCs/>
                <w:sz w:val="24"/>
                <w:szCs w:val="20"/>
                <w:lang w:val="zh-CN"/>
              </w:rPr>
              <w:t>3、</w:t>
            </w:r>
            <w:r>
              <w:rPr>
                <w:rFonts w:ascii="宋体" w:hAnsi="宋体" w:cs="宋体"/>
                <w:bCs/>
                <w:sz w:val="24"/>
                <w:szCs w:val="20"/>
                <w:lang w:val="zh-CN"/>
              </w:rPr>
              <w:tab/>
            </w:r>
            <w:r>
              <w:rPr>
                <w:rFonts w:ascii="宋体" w:hAnsi="宋体" w:cs="宋体"/>
                <w:bCs/>
                <w:sz w:val="24"/>
                <w:szCs w:val="20"/>
                <w:lang w:val="zh-CN"/>
              </w:rPr>
              <w:t>投标人提供的项目服务承诺方案及培训方案比较粗略的，得0-2分。</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0" w:type="dxa"/>
            <w:bottom w:w="0" w:type="dxa"/>
            <w:right w:w="0" w:type="dxa"/>
          </w:tblCellMar>
        </w:tblPrEx>
        <w:trPr>
          <w:trHeight w:val="900" w:hRule="atLeast"/>
          <w:jc w:val="center"/>
        </w:trPr>
        <w:tc>
          <w:tcPr>
            <w:tcW w:w="2752" w:type="dxa"/>
            <w:gridSpan w:val="2"/>
            <w:tcBorders>
              <w:left w:val="single" w:color="auto" w:sz="12" w:space="0"/>
              <w:right w:val="single" w:color="auto" w:sz="8" w:space="0"/>
            </w:tcBorders>
            <w:vAlign w:val="center"/>
          </w:tcPr>
          <w:p>
            <w:pPr>
              <w:autoSpaceDE w:val="0"/>
              <w:autoSpaceDN w:val="0"/>
              <w:adjustRightInd w:val="0"/>
              <w:spacing w:line="400" w:lineRule="exact"/>
              <w:jc w:val="center"/>
              <w:rPr>
                <w:rFonts w:ascii="宋体" w:hAnsi="宋体" w:cs="宋体"/>
                <w:bCs/>
                <w:sz w:val="24"/>
                <w:szCs w:val="20"/>
                <w:lang w:val="zh-CN"/>
              </w:rPr>
            </w:pPr>
            <w:r>
              <w:rPr>
                <w:rFonts w:ascii="宋体" w:hAnsi="宋体" w:cs="宋体"/>
                <w:bCs/>
                <w:sz w:val="24"/>
                <w:szCs w:val="20"/>
                <w:lang w:val="zh-CN"/>
              </w:rPr>
              <w:t>商务报价</w:t>
            </w:r>
          </w:p>
          <w:p>
            <w:pPr>
              <w:autoSpaceDE w:val="0"/>
              <w:autoSpaceDN w:val="0"/>
              <w:adjustRightInd w:val="0"/>
              <w:spacing w:line="400" w:lineRule="exact"/>
              <w:jc w:val="center"/>
              <w:rPr>
                <w:rFonts w:ascii="宋体" w:hAnsi="宋体" w:cs="宋体"/>
                <w:bCs/>
                <w:sz w:val="24"/>
                <w:szCs w:val="20"/>
                <w:lang w:val="zh-CN"/>
              </w:rPr>
            </w:pPr>
            <w:r>
              <w:rPr>
                <w:rFonts w:ascii="宋体" w:hAnsi="宋体" w:cs="宋体"/>
                <w:bCs/>
                <w:sz w:val="24"/>
                <w:szCs w:val="20"/>
                <w:lang w:val="zh-CN"/>
              </w:rPr>
              <w:t>（20分）</w:t>
            </w:r>
          </w:p>
        </w:tc>
        <w:tc>
          <w:tcPr>
            <w:tcW w:w="6320" w:type="dxa"/>
            <w:tcBorders>
              <w:top w:val="single" w:color="auto" w:sz="8" w:space="0"/>
              <w:left w:val="single" w:color="auto" w:sz="8" w:space="0"/>
              <w:bottom w:val="single" w:color="auto" w:sz="8" w:space="0"/>
              <w:right w:val="single" w:color="auto" w:sz="12" w:space="0"/>
            </w:tcBorders>
            <w:vAlign w:val="center"/>
          </w:tcPr>
          <w:p>
            <w:pPr>
              <w:autoSpaceDE w:val="0"/>
              <w:autoSpaceDN w:val="0"/>
              <w:adjustRightInd w:val="0"/>
              <w:spacing w:line="400" w:lineRule="exact"/>
              <w:rPr>
                <w:rFonts w:ascii="宋体" w:hAnsi="宋体" w:cs="宋体"/>
                <w:bCs/>
                <w:sz w:val="24"/>
                <w:szCs w:val="20"/>
                <w:lang w:val="zh-CN"/>
              </w:rPr>
            </w:pPr>
            <w:r>
              <w:rPr>
                <w:rFonts w:ascii="宋体" w:hAnsi="宋体" w:cs="宋体"/>
                <w:bCs/>
                <w:sz w:val="24"/>
                <w:szCs w:val="20"/>
                <w:lang w:val="zh-CN"/>
              </w:rPr>
              <w:t>满足招标文件要求且投标报价最低的为评标基准价，其投标报价得</w:t>
            </w:r>
            <w:r>
              <w:rPr>
                <w:rFonts w:ascii="宋体" w:hAnsi="宋体" w:cs="宋体"/>
                <w:bCs/>
                <w:sz w:val="24"/>
                <w:szCs w:val="20"/>
              </w:rPr>
              <w:t>20</w:t>
            </w:r>
            <w:r>
              <w:rPr>
                <w:rFonts w:ascii="宋体" w:hAnsi="宋体" w:cs="宋体"/>
                <w:bCs/>
                <w:sz w:val="24"/>
                <w:szCs w:val="20"/>
                <w:lang w:val="zh-CN"/>
              </w:rPr>
              <w:t>分，其他投标人的投标报价得分按照下列公式计算：投标报价得分=（评标基准价/投标报价）×价格权值（</w:t>
            </w:r>
            <w:r>
              <w:rPr>
                <w:rFonts w:ascii="宋体" w:hAnsi="宋体" w:cs="宋体"/>
                <w:bCs/>
                <w:sz w:val="24"/>
                <w:szCs w:val="20"/>
              </w:rPr>
              <w:t>10</w:t>
            </w:r>
            <w:r>
              <w:rPr>
                <w:rFonts w:ascii="宋体" w:hAnsi="宋体" w:cs="宋体"/>
                <w:bCs/>
                <w:sz w:val="24"/>
                <w:szCs w:val="20"/>
                <w:lang w:val="zh-CN"/>
              </w:rPr>
              <w:t>%）×100，四舍五入小数点后保留两位。</w:t>
            </w:r>
          </w:p>
        </w:tc>
      </w:tr>
    </w:tbl>
    <w:p>
      <w:pPr>
        <w:rPr>
          <w:rFonts w:hint="eastAsia" w:ascii="仿宋_GB2312" w:hAnsi="仿宋" w:eastAsia="仿宋_GB2312" w:cs="仿宋"/>
          <w:bCs/>
          <w:sz w:val="32"/>
          <w:szCs w:val="32"/>
          <w:lang w:eastAsia="zh-CN"/>
        </w:rPr>
      </w:pPr>
    </w:p>
    <w:p>
      <w:pPr>
        <w:rPr>
          <w:rFonts w:hint="eastAsia" w:ascii="仿宋_GB2312" w:hAnsi="仿宋" w:eastAsia="仿宋_GB2312" w:cs="仿宋"/>
          <w:bCs/>
          <w:sz w:val="32"/>
          <w:szCs w:val="32"/>
          <w:lang w:eastAsia="zh-CN"/>
        </w:rPr>
      </w:pPr>
    </w:p>
    <w:p>
      <w:pPr>
        <w:rPr>
          <w:rFonts w:hint="eastAsia" w:ascii="仿宋_GB2312" w:hAnsi="仿宋" w:eastAsia="仿宋_GB2312" w:cs="仿宋"/>
          <w:bCs/>
          <w:sz w:val="32"/>
          <w:szCs w:val="32"/>
          <w:lang w:eastAsia="zh-CN"/>
        </w:rPr>
      </w:pPr>
    </w:p>
    <w:p>
      <w:pPr>
        <w:rPr>
          <w:rFonts w:hint="eastAsia" w:ascii="仿宋_GB2312" w:hAnsi="仿宋" w:eastAsia="仿宋_GB2312" w:cs="仿宋"/>
          <w:bCs/>
          <w:sz w:val="32"/>
          <w:szCs w:val="32"/>
          <w:lang w:eastAsia="zh-CN"/>
        </w:rPr>
      </w:pPr>
    </w:p>
    <w:p>
      <w:pPr>
        <w:rPr>
          <w:rFonts w:hint="eastAsia" w:ascii="仿宋_GB2312" w:hAnsi="仿宋" w:eastAsia="仿宋_GB2312" w:cs="仿宋"/>
          <w:bCs/>
          <w:sz w:val="32"/>
          <w:szCs w:val="32"/>
          <w:lang w:eastAsia="zh-CN"/>
        </w:rPr>
      </w:pPr>
    </w:p>
    <w:p>
      <w:pPr>
        <w:rPr>
          <w:rFonts w:hint="eastAsia" w:ascii="仿宋_GB2312" w:hAnsi="仿宋" w:eastAsia="仿宋_GB2312" w:cs="仿宋"/>
          <w:bCs/>
          <w:sz w:val="32"/>
          <w:szCs w:val="32"/>
          <w:lang w:eastAsia="zh-CN"/>
        </w:rPr>
      </w:pPr>
    </w:p>
    <w:p>
      <w:pPr>
        <w:rPr>
          <w:rFonts w:hint="eastAsia" w:ascii="仿宋_GB2312" w:hAnsi="仿宋" w:eastAsia="仿宋_GB2312" w:cs="仿宋"/>
          <w:bCs/>
          <w:sz w:val="32"/>
          <w:szCs w:val="32"/>
          <w:lang w:eastAsia="zh-CN"/>
        </w:rPr>
      </w:pPr>
    </w:p>
    <w:p>
      <w:pPr>
        <w:rPr>
          <w:rFonts w:hint="eastAsia" w:ascii="仿宋_GB2312" w:hAnsi="仿宋" w:eastAsia="仿宋_GB2312" w:cs="仿宋"/>
          <w:bCs/>
          <w:sz w:val="32"/>
          <w:szCs w:val="32"/>
          <w:lang w:eastAsia="zh-CN"/>
        </w:rPr>
      </w:pPr>
    </w:p>
    <w:p>
      <w:pPr>
        <w:rPr>
          <w:rFonts w:hint="eastAsia" w:ascii="仿宋_GB2312" w:hAnsi="仿宋" w:eastAsia="仿宋_GB2312" w:cs="仿宋"/>
          <w:bCs/>
          <w:sz w:val="32"/>
          <w:szCs w:val="32"/>
          <w:lang w:eastAsia="zh-CN"/>
        </w:rPr>
      </w:pPr>
    </w:p>
    <w:p>
      <w:pPr>
        <w:pageBreakBefore/>
        <w:spacing w:beforeLines="50" w:afterLines="100" w:line="420" w:lineRule="exact"/>
        <w:ind w:right="839"/>
        <w:jc w:val="left"/>
        <w:rPr>
          <w:rFonts w:hint="default" w:ascii="方正黑体_GBK" w:hAnsi="方正黑体_GBK" w:eastAsia="方正黑体_GBK" w:cs="方正黑体_GBK"/>
          <w:b w:val="0"/>
          <w:bCs/>
          <w:sz w:val="44"/>
          <w:szCs w:val="44"/>
          <w:lang w:val="en-US" w:eastAsia="zh-CN"/>
        </w:rPr>
      </w:pPr>
      <w:r>
        <w:rPr>
          <w:rFonts w:hint="eastAsia" w:ascii="方正黑体_GBK" w:hAnsi="方正黑体_GBK" w:eastAsia="方正黑体_GBK" w:cs="方正黑体_GBK"/>
          <w:b w:val="0"/>
          <w:bCs/>
          <w:sz w:val="44"/>
          <w:szCs w:val="44"/>
          <w:lang w:val="en-US" w:eastAsia="zh-CN"/>
        </w:rPr>
        <w:t>附件1：</w:t>
      </w:r>
      <w:bookmarkStart w:id="0" w:name="_GoBack"/>
      <w:bookmarkEnd w:id="0"/>
    </w:p>
    <w:p>
      <w:pPr>
        <w:pStyle w:val="7"/>
        <w:spacing w:line="23" w:lineRule="atLeast"/>
        <w:jc w:val="center"/>
        <w:rPr>
          <w:rFonts w:hint="default" w:eastAsia="宋体" w:cs="Times New Roman"/>
          <w:b/>
          <w:kern w:val="2"/>
          <w:lang w:val="en-US" w:eastAsia="zh-CN"/>
        </w:rPr>
      </w:pPr>
      <w:r>
        <w:rPr>
          <w:rFonts w:hint="eastAsia" w:ascii="方正黑体_GBK" w:hAnsi="方正黑体_GBK" w:eastAsia="方正黑体_GBK" w:cs="方正黑体_GBK"/>
          <w:b/>
          <w:bCs w:val="0"/>
          <w:sz w:val="44"/>
          <w:szCs w:val="44"/>
          <w:lang w:val="en-US" w:eastAsia="zh-CN"/>
        </w:rPr>
        <w:t>技术响应参数</w:t>
      </w:r>
    </w:p>
    <w:tbl>
      <w:tblPr>
        <w:tblStyle w:val="9"/>
        <w:tblW w:w="936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56"/>
        <w:gridCol w:w="1516"/>
        <w:gridCol w:w="728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56" w:type="dxa"/>
            <w:vAlign w:val="center"/>
          </w:tcPr>
          <w:p>
            <w:pPr>
              <w:pStyle w:val="17"/>
              <w:jc w:val="center"/>
              <w:rPr>
                <w:rFonts w:ascii="宋体" w:hAnsi="宋体"/>
                <w:sz w:val="24"/>
                <w:szCs w:val="24"/>
              </w:rPr>
            </w:pPr>
            <w:r>
              <w:rPr>
                <w:rFonts w:hint="eastAsia" w:ascii="宋体" w:hAnsi="宋体"/>
                <w:sz w:val="24"/>
                <w:szCs w:val="24"/>
              </w:rPr>
              <w:t>1</w:t>
            </w:r>
          </w:p>
        </w:tc>
        <w:tc>
          <w:tcPr>
            <w:tcW w:w="1516" w:type="dxa"/>
            <w:vAlign w:val="center"/>
          </w:tcPr>
          <w:p>
            <w:pPr>
              <w:pStyle w:val="17"/>
              <w:jc w:val="center"/>
              <w:rPr>
                <w:rFonts w:ascii="宋体" w:hAnsi="宋体"/>
                <w:sz w:val="24"/>
                <w:szCs w:val="24"/>
              </w:rPr>
            </w:pPr>
            <w:r>
              <w:rPr>
                <w:rFonts w:hint="eastAsia" w:ascii="宋体" w:hAnsi="宋体"/>
                <w:sz w:val="24"/>
                <w:szCs w:val="24"/>
              </w:rPr>
              <w:t>定级备案</w:t>
            </w:r>
          </w:p>
        </w:tc>
        <w:tc>
          <w:tcPr>
            <w:tcW w:w="7288" w:type="dxa"/>
            <w:vAlign w:val="center"/>
          </w:tcPr>
          <w:p>
            <w:pPr>
              <w:pStyle w:val="17"/>
              <w:jc w:val="left"/>
              <w:rPr>
                <w:rFonts w:ascii="宋体" w:hAnsi="宋体"/>
                <w:sz w:val="24"/>
                <w:szCs w:val="24"/>
              </w:rPr>
            </w:pPr>
            <w:r>
              <w:rPr>
                <w:rFonts w:hint="eastAsia" w:ascii="宋体" w:hAnsi="宋体"/>
                <w:sz w:val="24"/>
                <w:szCs w:val="24"/>
              </w:rPr>
              <w:t>协助采购方对宿州市智慧市场监管系统在公安机关网安部门完成系统定级及定级备案工作，交付定级报告、专家评审意见表和备案表等内容，并取得相应系统的备案证明。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58" w:hRule="atLeast"/>
          <w:jc w:val="center"/>
        </w:trPr>
        <w:tc>
          <w:tcPr>
            <w:tcW w:w="556" w:type="dxa"/>
            <w:vAlign w:val="center"/>
          </w:tcPr>
          <w:p>
            <w:pPr>
              <w:pStyle w:val="17"/>
              <w:jc w:val="center"/>
              <w:rPr>
                <w:rFonts w:ascii="宋体" w:hAnsi="宋体"/>
                <w:sz w:val="24"/>
                <w:szCs w:val="24"/>
              </w:rPr>
            </w:pPr>
            <w:r>
              <w:rPr>
                <w:rFonts w:hint="eastAsia" w:ascii="宋体" w:hAnsi="宋体"/>
                <w:sz w:val="24"/>
                <w:szCs w:val="24"/>
              </w:rPr>
              <w:t>2</w:t>
            </w:r>
          </w:p>
        </w:tc>
        <w:tc>
          <w:tcPr>
            <w:tcW w:w="1516" w:type="dxa"/>
            <w:vAlign w:val="center"/>
          </w:tcPr>
          <w:p>
            <w:pPr>
              <w:pStyle w:val="17"/>
              <w:jc w:val="center"/>
              <w:rPr>
                <w:rFonts w:ascii="宋体" w:hAnsi="宋体"/>
                <w:sz w:val="24"/>
                <w:szCs w:val="24"/>
              </w:rPr>
            </w:pPr>
            <w:r>
              <w:rPr>
                <w:rFonts w:hint="eastAsia" w:ascii="宋体" w:hAnsi="宋体"/>
                <w:sz w:val="24"/>
                <w:szCs w:val="24"/>
              </w:rPr>
              <w:t>等级保护测评</w:t>
            </w:r>
          </w:p>
        </w:tc>
        <w:tc>
          <w:tcPr>
            <w:tcW w:w="7288" w:type="dxa"/>
            <w:vAlign w:val="center"/>
          </w:tcPr>
          <w:p>
            <w:pPr>
              <w:pStyle w:val="17"/>
              <w:jc w:val="left"/>
              <w:rPr>
                <w:rFonts w:ascii="宋体" w:hAnsi="宋体"/>
                <w:sz w:val="24"/>
                <w:szCs w:val="24"/>
              </w:rPr>
            </w:pPr>
            <w:r>
              <w:rPr>
                <w:rFonts w:hint="eastAsia" w:ascii="宋体" w:hAnsi="宋体"/>
                <w:sz w:val="24"/>
                <w:szCs w:val="24"/>
              </w:rPr>
              <w:t>依据《信息安全技术 网络安全等级保护基本要求》（GB/T 22239-2019）、《信息安全技术 网络安全等级保护测评要求》（GB/T 28448-2019）等标准规范，结合ISO/IEC 27001、ISO/IEC 20000、ISO 22301、ITIL和ITSS等行业最佳实践对各采购方重要信息系统开展等级保护测评，内容包括：</w:t>
            </w:r>
          </w:p>
          <w:p>
            <w:pPr>
              <w:pStyle w:val="17"/>
              <w:jc w:val="left"/>
              <w:rPr>
                <w:rFonts w:ascii="宋体" w:hAnsi="宋体"/>
                <w:sz w:val="24"/>
                <w:szCs w:val="24"/>
              </w:rPr>
            </w:pPr>
            <w:r>
              <w:rPr>
                <w:rFonts w:hint="eastAsia" w:ascii="宋体" w:hAnsi="宋体"/>
                <w:sz w:val="24"/>
                <w:szCs w:val="24"/>
              </w:rPr>
              <w:t>1)</w:t>
            </w:r>
            <w:r>
              <w:rPr>
                <w:rFonts w:hint="eastAsia" w:ascii="宋体" w:hAnsi="宋体"/>
                <w:sz w:val="24"/>
                <w:szCs w:val="24"/>
              </w:rPr>
              <w:tab/>
            </w:r>
            <w:r>
              <w:rPr>
                <w:rFonts w:hint="eastAsia" w:ascii="宋体" w:hAnsi="宋体"/>
                <w:sz w:val="24"/>
                <w:szCs w:val="24"/>
              </w:rPr>
              <w:t>等级保护测评：包括安全管理制度、安全管理机构、安全管理人员、安全建设管理、安全运维管理及安全物理环境、安全计算环境、安全区域边界、安全通信网络、安全管理中心共十个方面的安全测评；</w:t>
            </w:r>
          </w:p>
          <w:p>
            <w:pPr>
              <w:pStyle w:val="17"/>
              <w:jc w:val="left"/>
              <w:rPr>
                <w:rFonts w:ascii="宋体" w:hAnsi="宋体"/>
                <w:sz w:val="24"/>
                <w:szCs w:val="24"/>
              </w:rPr>
            </w:pPr>
            <w:r>
              <w:rPr>
                <w:rFonts w:hint="eastAsia" w:ascii="宋体" w:hAnsi="宋体"/>
                <w:sz w:val="24"/>
                <w:szCs w:val="24"/>
              </w:rPr>
              <w:t>2)</w:t>
            </w:r>
            <w:r>
              <w:rPr>
                <w:rFonts w:hint="eastAsia" w:ascii="宋体" w:hAnsi="宋体"/>
                <w:sz w:val="24"/>
                <w:szCs w:val="24"/>
              </w:rPr>
              <w:tab/>
            </w:r>
            <w:r>
              <w:rPr>
                <w:rFonts w:hint="eastAsia" w:ascii="宋体" w:hAnsi="宋体"/>
                <w:sz w:val="24"/>
                <w:szCs w:val="24"/>
              </w:rPr>
              <w:t>工具测试：针对重要信息系统进行定期的漏洞扫描、渗透测试等安全服务工作；</w:t>
            </w:r>
          </w:p>
          <w:p>
            <w:pPr>
              <w:pStyle w:val="17"/>
              <w:jc w:val="left"/>
              <w:rPr>
                <w:rFonts w:ascii="宋体" w:hAnsi="宋体"/>
                <w:sz w:val="24"/>
                <w:szCs w:val="24"/>
              </w:rPr>
            </w:pPr>
            <w:r>
              <w:rPr>
                <w:rFonts w:hint="eastAsia" w:ascii="宋体" w:hAnsi="宋体"/>
                <w:sz w:val="24"/>
                <w:szCs w:val="24"/>
              </w:rPr>
              <w:t>3)</w:t>
            </w:r>
            <w:r>
              <w:rPr>
                <w:rFonts w:hint="eastAsia" w:ascii="宋体" w:hAnsi="宋体"/>
                <w:sz w:val="24"/>
                <w:szCs w:val="24"/>
              </w:rPr>
              <w:tab/>
            </w:r>
            <w:r>
              <w:rPr>
                <w:rFonts w:hint="eastAsia" w:ascii="宋体" w:hAnsi="宋体"/>
                <w:sz w:val="24"/>
                <w:szCs w:val="24"/>
              </w:rPr>
              <w:t>整改建议：投标人应根据现场测评中发现的问题，分析与等级保护基本要求、ISO/IEC 27001、ISO/IEC 20000、ISO 22301、ITIL和ITSS等行业最佳实践之间的差距，按照网络安全等级保护标准要求提出安全整改报告；</w:t>
            </w:r>
          </w:p>
          <w:p>
            <w:pPr>
              <w:pStyle w:val="17"/>
              <w:jc w:val="left"/>
              <w:rPr>
                <w:rFonts w:ascii="宋体" w:hAnsi="宋体"/>
                <w:sz w:val="24"/>
                <w:szCs w:val="24"/>
              </w:rPr>
            </w:pPr>
            <w:r>
              <w:rPr>
                <w:rFonts w:hint="eastAsia" w:ascii="宋体" w:hAnsi="宋体"/>
                <w:sz w:val="24"/>
                <w:szCs w:val="24"/>
              </w:rPr>
              <w:t>4)</w:t>
            </w:r>
            <w:r>
              <w:rPr>
                <w:rFonts w:hint="eastAsia" w:ascii="宋体" w:hAnsi="宋体"/>
                <w:sz w:val="24"/>
                <w:szCs w:val="24"/>
              </w:rPr>
              <w:tab/>
            </w:r>
            <w:r>
              <w:rPr>
                <w:rFonts w:hint="eastAsia" w:ascii="宋体" w:hAnsi="宋体"/>
                <w:sz w:val="24"/>
                <w:szCs w:val="24"/>
              </w:rPr>
              <w:t>编制测评报告：完成上述测评工作和整改加固实施后，投标人最后出具符合公安机关要求的各信息系统网络安全等级保护测评报告。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61" w:hRule="atLeast"/>
          <w:jc w:val="center"/>
        </w:trPr>
        <w:tc>
          <w:tcPr>
            <w:tcW w:w="556" w:type="dxa"/>
            <w:vAlign w:val="center"/>
          </w:tcPr>
          <w:p>
            <w:pPr>
              <w:pStyle w:val="17"/>
              <w:jc w:val="center"/>
              <w:rPr>
                <w:rFonts w:ascii="宋体" w:hAnsi="宋体"/>
                <w:sz w:val="24"/>
                <w:szCs w:val="24"/>
              </w:rPr>
            </w:pPr>
            <w:r>
              <w:rPr>
                <w:rFonts w:hint="eastAsia" w:ascii="宋体" w:hAnsi="宋体"/>
                <w:sz w:val="24"/>
                <w:szCs w:val="24"/>
              </w:rPr>
              <w:t>3</w:t>
            </w:r>
          </w:p>
        </w:tc>
        <w:tc>
          <w:tcPr>
            <w:tcW w:w="1516" w:type="dxa"/>
            <w:vAlign w:val="center"/>
          </w:tcPr>
          <w:p>
            <w:pPr>
              <w:pStyle w:val="17"/>
              <w:jc w:val="center"/>
              <w:rPr>
                <w:rFonts w:ascii="宋体" w:hAnsi="宋体"/>
                <w:sz w:val="24"/>
                <w:szCs w:val="24"/>
              </w:rPr>
            </w:pPr>
            <w:r>
              <w:rPr>
                <w:rFonts w:hint="eastAsia" w:ascii="宋体" w:hAnsi="宋体"/>
                <w:sz w:val="24"/>
                <w:szCs w:val="24"/>
              </w:rPr>
              <w:t>信息安全培训</w:t>
            </w:r>
          </w:p>
        </w:tc>
        <w:tc>
          <w:tcPr>
            <w:tcW w:w="7288" w:type="dxa"/>
            <w:vAlign w:val="center"/>
          </w:tcPr>
          <w:p>
            <w:pPr>
              <w:pStyle w:val="17"/>
              <w:jc w:val="left"/>
              <w:rPr>
                <w:rFonts w:ascii="宋体" w:hAnsi="宋体"/>
                <w:sz w:val="24"/>
                <w:szCs w:val="24"/>
              </w:rPr>
            </w:pPr>
            <w:r>
              <w:rPr>
                <w:rFonts w:hint="eastAsia" w:ascii="宋体" w:hAnsi="宋体"/>
                <w:sz w:val="24"/>
                <w:szCs w:val="24"/>
              </w:rPr>
              <w:t>需要为采购方提供不少于2次的信息安全技术培训，确保管理人员和技术人员掌握关于信息系统等级保护相关规范、信息安全策略、信息保密制度，信息安全管理制度和相关流程等。</w:t>
            </w:r>
          </w:p>
          <w:p>
            <w:pPr>
              <w:pStyle w:val="17"/>
              <w:jc w:val="left"/>
              <w:rPr>
                <w:rFonts w:ascii="宋体" w:hAnsi="宋体"/>
                <w:sz w:val="24"/>
                <w:szCs w:val="24"/>
              </w:rPr>
            </w:pPr>
            <w:r>
              <w:rPr>
                <w:rFonts w:hint="eastAsia" w:ascii="宋体" w:hAnsi="宋体"/>
                <w:sz w:val="24"/>
                <w:szCs w:val="24"/>
              </w:rPr>
              <w:t>信息安全培训方式分为以下几种：</w:t>
            </w:r>
          </w:p>
          <w:p>
            <w:pPr>
              <w:pStyle w:val="17"/>
              <w:jc w:val="left"/>
              <w:rPr>
                <w:rFonts w:ascii="宋体" w:hAnsi="宋体"/>
                <w:sz w:val="24"/>
                <w:szCs w:val="24"/>
              </w:rPr>
            </w:pPr>
            <w:r>
              <w:rPr>
                <w:rFonts w:hint="eastAsia" w:ascii="宋体" w:hAnsi="宋体"/>
                <w:sz w:val="24"/>
                <w:szCs w:val="24"/>
              </w:rPr>
              <w:t>线下培训：（不少于一次）为集中授课培训。由中标方安排资深信息安全人员，对采购方人员讲解信息安全相关规范、流程、技术等方面的知识。</w:t>
            </w:r>
          </w:p>
          <w:p>
            <w:pPr>
              <w:pStyle w:val="17"/>
              <w:jc w:val="left"/>
              <w:rPr>
                <w:rFonts w:ascii="宋体" w:hAnsi="宋体"/>
                <w:sz w:val="24"/>
                <w:szCs w:val="24"/>
              </w:rPr>
            </w:pPr>
            <w:r>
              <w:rPr>
                <w:rFonts w:hint="eastAsia" w:ascii="宋体" w:hAnsi="宋体"/>
                <w:sz w:val="24"/>
                <w:szCs w:val="24"/>
              </w:rPr>
              <w:t>线上培训：（采购方根据需要可随时开展线上培训）通过在QQ及时通讯工具，对使用人员进行培训。可以采用远程方式，演示系统操作步骤。</w:t>
            </w:r>
          </w:p>
          <w:p>
            <w:pPr>
              <w:pStyle w:val="17"/>
              <w:jc w:val="left"/>
              <w:rPr>
                <w:rFonts w:ascii="宋体" w:hAnsi="宋体"/>
                <w:sz w:val="24"/>
                <w:szCs w:val="24"/>
              </w:rPr>
            </w:pPr>
            <w:r>
              <w:rPr>
                <w:rFonts w:hint="eastAsia" w:ascii="宋体" w:hAnsi="宋体"/>
                <w:sz w:val="24"/>
                <w:szCs w:val="24"/>
              </w:rPr>
              <w:t>即时通讯方式培训：对于一些情况较为紧急的使用问题，使用电话方式、微信或其他即时通讯，对使用人员进行系统讲解。</w:t>
            </w:r>
          </w:p>
          <w:p>
            <w:pPr>
              <w:pStyle w:val="17"/>
              <w:jc w:val="left"/>
              <w:rPr>
                <w:rFonts w:ascii="宋体" w:hAnsi="宋体"/>
                <w:sz w:val="24"/>
                <w:szCs w:val="24"/>
              </w:rPr>
            </w:pPr>
            <w:r>
              <w:rPr>
                <w:rFonts w:hint="eastAsia" w:ascii="宋体" w:hAnsi="宋体"/>
                <w:sz w:val="24"/>
                <w:szCs w:val="24"/>
              </w:rPr>
              <w:t>培训资料：提供培训课件相关资料。</w:t>
            </w:r>
          </w:p>
        </w:tc>
      </w:tr>
    </w:tbl>
    <w:p>
      <w:pPr>
        <w:pageBreakBefore/>
        <w:spacing w:beforeLines="50" w:afterLines="100" w:line="420" w:lineRule="exact"/>
        <w:ind w:right="839"/>
        <w:jc w:val="left"/>
        <w:rPr>
          <w:rFonts w:hint="eastAsia" w:ascii="方正黑体_GBK" w:hAnsi="方正黑体_GBK" w:eastAsia="方正黑体_GBK" w:cs="方正黑体_GBK"/>
          <w:b/>
          <w:bCs w:val="0"/>
          <w:sz w:val="44"/>
          <w:szCs w:val="44"/>
        </w:rPr>
      </w:pPr>
      <w:r>
        <w:rPr>
          <w:rFonts w:hint="eastAsia" w:ascii="方正黑体_GBK" w:hAnsi="方正黑体_GBK" w:eastAsia="方正黑体_GBK" w:cs="方正黑体_GBK"/>
          <w:b w:val="0"/>
          <w:bCs/>
          <w:sz w:val="44"/>
          <w:szCs w:val="44"/>
          <w:lang w:val="en-US" w:eastAsia="zh-CN"/>
        </w:rPr>
        <w:t>附件2：</w:t>
      </w: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ascii="方正黑体_GBK" w:hAnsi="方正黑体_GBK" w:eastAsia="方正黑体_GBK" w:cs="方正黑体_GBK"/>
          <w:b/>
          <w:bCs w:val="0"/>
          <w:sz w:val="44"/>
          <w:szCs w:val="44"/>
        </w:rPr>
      </w:pPr>
      <w:r>
        <w:rPr>
          <w:rFonts w:hint="eastAsia" w:ascii="方正黑体_GBK" w:hAnsi="方正黑体_GBK" w:eastAsia="方正黑体_GBK" w:cs="方正黑体_GBK"/>
          <w:b/>
          <w:bCs w:val="0"/>
          <w:sz w:val="44"/>
          <w:szCs w:val="44"/>
        </w:rPr>
        <w:t>报价函</w:t>
      </w:r>
    </w:p>
    <w:p>
      <w:pPr>
        <w:pStyle w:val="2"/>
        <w:rPr>
          <w:rFonts w:hint="eastAsia"/>
        </w:rPr>
      </w:pPr>
    </w:p>
    <w:p>
      <w:pPr>
        <w:spacing w:line="400" w:lineRule="exact"/>
        <w:rPr>
          <w:rFonts w:hint="eastAsia" w:ascii="宋体" w:hAnsi="宋体"/>
          <w:sz w:val="24"/>
        </w:rPr>
      </w:pPr>
      <w:r>
        <w:rPr>
          <w:rFonts w:hint="eastAsia" w:ascii="宋体" w:hAnsi="宋体"/>
          <w:sz w:val="24"/>
          <w:lang w:eastAsia="zh-CN"/>
        </w:rPr>
        <w:t>宿州</w:t>
      </w:r>
      <w:r>
        <w:rPr>
          <w:rFonts w:hint="eastAsia" w:ascii="宋体" w:hAnsi="宋体"/>
          <w:sz w:val="24"/>
        </w:rPr>
        <w:t>市市场监督管理局：</w:t>
      </w:r>
    </w:p>
    <w:p>
      <w:pPr>
        <w:spacing w:line="400" w:lineRule="exact"/>
        <w:ind w:firstLine="480"/>
        <w:rPr>
          <w:rFonts w:hint="eastAsia" w:ascii="宋体" w:hAnsi="宋体"/>
          <w:sz w:val="24"/>
        </w:rPr>
      </w:pPr>
      <w:r>
        <w:rPr>
          <w:rFonts w:hint="eastAsia" w:ascii="宋体" w:hAnsi="宋体"/>
          <w:sz w:val="24"/>
        </w:rPr>
        <w:t>本公司已经收到贵单位</w:t>
      </w:r>
      <w:r>
        <w:rPr>
          <w:rFonts w:hint="eastAsia" w:ascii="宋体" w:hAnsi="宋体"/>
          <w:sz w:val="24"/>
          <w:u w:val="single"/>
          <w:lang w:val="en-US" w:eastAsia="zh-CN"/>
        </w:rPr>
        <w:t xml:space="preserve"> </w:t>
      </w:r>
      <w:r>
        <w:rPr>
          <w:rFonts w:hint="eastAsia" w:ascii="宋体" w:hAnsi="宋体"/>
          <w:sz w:val="24"/>
          <w:u w:val="single"/>
          <w:lang w:eastAsia="zh-CN"/>
        </w:rPr>
        <w:t>宿州</w:t>
      </w:r>
      <w:r>
        <w:rPr>
          <w:rFonts w:hint="eastAsia" w:ascii="宋体" w:hAnsi="宋体"/>
          <w:sz w:val="24"/>
          <w:u w:val="single"/>
        </w:rPr>
        <w:t>市市场监督管理局</w:t>
      </w:r>
      <w:r>
        <w:rPr>
          <w:rFonts w:hint="eastAsia" w:ascii="宋体" w:hAnsi="宋体"/>
          <w:sz w:val="24"/>
          <w:u w:val="single"/>
          <w:lang w:eastAsia="zh-CN"/>
        </w:rPr>
        <w:t>宿州市智慧市场监管</w:t>
      </w:r>
      <w:r>
        <w:rPr>
          <w:rFonts w:hint="eastAsia" w:ascii="宋体" w:hAnsi="宋体"/>
          <w:sz w:val="24"/>
          <w:u w:val="single"/>
        </w:rPr>
        <w:t>系统网络安全等级保护测评服务项目</w:t>
      </w:r>
      <w:r>
        <w:rPr>
          <w:rFonts w:hint="eastAsia" w:ascii="宋体" w:hAnsi="宋体"/>
          <w:sz w:val="24"/>
          <w:u w:val="single"/>
          <w:lang w:val="en-US" w:eastAsia="zh-CN"/>
        </w:rPr>
        <w:t xml:space="preserve"> </w:t>
      </w:r>
      <w:r>
        <w:rPr>
          <w:rFonts w:hint="eastAsia" w:ascii="宋体" w:hAnsi="宋体"/>
          <w:sz w:val="24"/>
        </w:rPr>
        <w:t>的采购公告，我方已研究了该公告的全部内容，</w:t>
      </w:r>
      <w:r>
        <w:rPr>
          <w:rFonts w:hint="eastAsia" w:ascii="宋体" w:hAnsi="宋体"/>
          <w:spacing w:val="-2"/>
          <w:sz w:val="24"/>
        </w:rPr>
        <w:t>本次总报价</w:t>
      </w:r>
      <w:r>
        <w:rPr>
          <w:rFonts w:hint="eastAsia" w:ascii="宋体" w:hAnsi="宋体"/>
          <w:spacing w:val="-2"/>
          <w:sz w:val="24"/>
          <w:lang w:eastAsia="zh-CN"/>
        </w:rPr>
        <w:t>金额</w:t>
      </w:r>
      <w:r>
        <w:rPr>
          <w:rFonts w:hint="eastAsia" w:ascii="宋体" w:hAnsi="宋体"/>
          <w:spacing w:val="-2"/>
          <w:sz w:val="24"/>
        </w:rPr>
        <w:t>为（大写）</w:t>
      </w:r>
      <w:r>
        <w:rPr>
          <w:rFonts w:hint="eastAsia" w:ascii="宋体" w:hAnsi="宋体"/>
          <w:spacing w:val="-2"/>
          <w:sz w:val="24"/>
          <w:u w:val="single"/>
        </w:rPr>
        <w:t xml:space="preserve">                    </w:t>
      </w:r>
      <w:r>
        <w:rPr>
          <w:rFonts w:hint="eastAsia" w:ascii="宋体" w:hAnsi="宋体"/>
          <w:spacing w:val="-2"/>
          <w:sz w:val="24"/>
        </w:rPr>
        <w:t>（含增值税费用）。</w:t>
      </w:r>
    </w:p>
    <w:p>
      <w:pPr>
        <w:spacing w:line="400" w:lineRule="exact"/>
        <w:ind w:left="480"/>
        <w:rPr>
          <w:rFonts w:hint="eastAsia" w:ascii="宋体" w:hAnsi="宋体"/>
          <w:sz w:val="24"/>
        </w:rPr>
      </w:pPr>
    </w:p>
    <w:p>
      <w:pPr>
        <w:spacing w:line="400" w:lineRule="exact"/>
        <w:ind w:left="480"/>
        <w:rPr>
          <w:rFonts w:hint="eastAsia" w:ascii="宋体" w:hAnsi="宋体"/>
          <w:sz w:val="24"/>
        </w:rPr>
      </w:pPr>
      <w:r>
        <w:rPr>
          <w:rFonts w:hint="eastAsia" w:ascii="宋体" w:hAnsi="宋体"/>
          <w:sz w:val="24"/>
        </w:rPr>
        <w:t>本公司承诺：</w:t>
      </w:r>
    </w:p>
    <w:p>
      <w:pPr>
        <w:numPr>
          <w:ilvl w:val="0"/>
          <w:numId w:val="1"/>
        </w:numPr>
        <w:spacing w:line="400" w:lineRule="exact"/>
        <w:rPr>
          <w:rFonts w:hint="eastAsia" w:ascii="宋体" w:hAnsi="宋体"/>
          <w:sz w:val="24"/>
        </w:rPr>
      </w:pPr>
      <w:r>
        <w:rPr>
          <w:rFonts w:hint="eastAsia" w:ascii="宋体" w:hAnsi="宋体"/>
          <w:sz w:val="24"/>
        </w:rPr>
        <w:t>本公司的报价函一旦为贵单位认可，该报价即为合同价；</w:t>
      </w:r>
    </w:p>
    <w:p>
      <w:pPr>
        <w:numPr>
          <w:ilvl w:val="0"/>
          <w:numId w:val="1"/>
        </w:numPr>
        <w:spacing w:line="400" w:lineRule="exact"/>
        <w:rPr>
          <w:rFonts w:hint="eastAsia" w:ascii="宋体" w:hAnsi="宋体"/>
          <w:sz w:val="24"/>
        </w:rPr>
      </w:pPr>
      <w:r>
        <w:rPr>
          <w:rFonts w:hint="eastAsia" w:ascii="宋体" w:hAnsi="宋体"/>
          <w:sz w:val="24"/>
        </w:rPr>
        <w:t>本公司一旦成为本项目的成交供应商，同意将项目询价公告和本报价函作为合同的组成部分；</w:t>
      </w:r>
    </w:p>
    <w:p>
      <w:pPr>
        <w:pStyle w:val="2"/>
        <w:rPr>
          <w:rFonts w:hint="eastAsia" w:ascii="宋体" w:hAnsi="宋体"/>
          <w:sz w:val="24"/>
          <w:lang w:val="en-US" w:eastAsia="zh-CN"/>
        </w:rPr>
      </w:pPr>
      <w:r>
        <w:rPr>
          <w:rFonts w:hint="eastAsia" w:ascii="宋体" w:hAnsi="宋体"/>
          <w:sz w:val="24"/>
          <w:lang w:val="en-US" w:eastAsia="zh-CN"/>
        </w:rPr>
        <w:t>3、本项目报价为总包价，包含完成本项目的一切费用。</w:t>
      </w:r>
    </w:p>
    <w:p>
      <w:pPr>
        <w:pStyle w:val="2"/>
        <w:rPr>
          <w:rFonts w:hint="eastAsia" w:eastAsia="宋体"/>
          <w:lang w:val="en-US" w:eastAsia="zh-CN"/>
        </w:rPr>
      </w:pPr>
    </w:p>
    <w:p>
      <w:pPr>
        <w:spacing w:line="400" w:lineRule="exact"/>
        <w:rPr>
          <w:rFonts w:hint="eastAsia" w:ascii="宋体" w:hAnsi="宋体"/>
          <w:sz w:val="24"/>
        </w:rPr>
      </w:pPr>
    </w:p>
    <w:p>
      <w:pPr>
        <w:spacing w:line="400" w:lineRule="exact"/>
        <w:rPr>
          <w:rFonts w:hint="eastAsia" w:ascii="宋体" w:hAnsi="宋体"/>
          <w:sz w:val="24"/>
        </w:rPr>
      </w:pPr>
    </w:p>
    <w:p>
      <w:pPr>
        <w:spacing w:beforeLines="50" w:afterLines="50" w:line="400" w:lineRule="exact"/>
        <w:ind w:left="482"/>
        <w:rPr>
          <w:rFonts w:hint="eastAsia" w:ascii="宋体" w:hAnsi="宋体"/>
          <w:sz w:val="24"/>
        </w:rPr>
      </w:pPr>
      <w:r>
        <w:rPr>
          <w:rFonts w:hint="eastAsia" w:ascii="宋体" w:hAnsi="宋体"/>
          <w:sz w:val="24"/>
        </w:rPr>
        <w:t>联系人签字：</w:t>
      </w:r>
    </w:p>
    <w:p>
      <w:pPr>
        <w:spacing w:line="400" w:lineRule="exact"/>
        <w:ind w:left="480"/>
        <w:rPr>
          <w:rFonts w:hint="eastAsia" w:ascii="宋体" w:hAnsi="宋体"/>
          <w:sz w:val="24"/>
        </w:rPr>
      </w:pPr>
    </w:p>
    <w:p>
      <w:pPr>
        <w:spacing w:line="400" w:lineRule="exact"/>
        <w:ind w:left="480"/>
        <w:rPr>
          <w:rFonts w:hint="eastAsia" w:ascii="宋体" w:hAnsi="宋体"/>
          <w:sz w:val="24"/>
        </w:rPr>
      </w:pPr>
      <w:r>
        <w:rPr>
          <w:rFonts w:hint="eastAsia" w:ascii="宋体" w:hAnsi="宋体"/>
          <w:sz w:val="24"/>
        </w:rPr>
        <w:t>联系电话：                         手机：</w:t>
      </w:r>
    </w:p>
    <w:p>
      <w:pPr>
        <w:wordWrap w:val="0"/>
        <w:spacing w:afterLines="100" w:line="400" w:lineRule="exact"/>
        <w:ind w:firstLine="540" w:firstLineChars="225"/>
        <w:jc w:val="right"/>
        <w:rPr>
          <w:rFonts w:hint="eastAsia" w:ascii="宋体" w:hAnsi="宋体"/>
          <w:sz w:val="24"/>
        </w:rPr>
      </w:pPr>
    </w:p>
    <w:p>
      <w:pPr>
        <w:wordWrap w:val="0"/>
        <w:spacing w:afterLines="100" w:line="400" w:lineRule="exact"/>
        <w:rPr>
          <w:rFonts w:hint="eastAsia" w:ascii="宋体" w:hAnsi="宋体"/>
          <w:sz w:val="24"/>
        </w:rPr>
      </w:pPr>
    </w:p>
    <w:p>
      <w:pPr>
        <w:wordWrap w:val="0"/>
        <w:spacing w:afterLines="100" w:line="400" w:lineRule="exact"/>
        <w:ind w:firstLine="540" w:firstLineChars="225"/>
        <w:jc w:val="right"/>
        <w:rPr>
          <w:rFonts w:hint="eastAsia" w:ascii="宋体" w:hAnsi="宋体"/>
          <w:sz w:val="24"/>
        </w:rPr>
      </w:pPr>
    </w:p>
    <w:p>
      <w:pPr>
        <w:wordWrap w:val="0"/>
        <w:spacing w:afterLines="100" w:line="400" w:lineRule="exact"/>
        <w:ind w:firstLine="540" w:firstLineChars="225"/>
        <w:jc w:val="right"/>
        <w:rPr>
          <w:rFonts w:hint="eastAsia" w:ascii="宋体" w:hAnsi="宋体"/>
          <w:sz w:val="24"/>
        </w:rPr>
      </w:pPr>
      <w:r>
        <w:rPr>
          <w:rFonts w:hint="eastAsia" w:ascii="宋体" w:hAnsi="宋体"/>
          <w:sz w:val="24"/>
        </w:rPr>
        <w:t xml:space="preserve">（公司盖章）         </w:t>
      </w:r>
    </w:p>
    <w:p>
      <w:pPr>
        <w:spacing w:line="360" w:lineRule="auto"/>
        <w:ind w:firstLine="6600" w:firstLineChars="2750"/>
        <w:jc w:val="left"/>
        <w:rPr>
          <w:rFonts w:hint="eastAsia" w:ascii="宋体" w:hAnsi="宋体"/>
          <w:sz w:val="24"/>
        </w:rPr>
      </w:pPr>
      <w:r>
        <w:rPr>
          <w:rFonts w:hint="eastAsia" w:ascii="宋体" w:hAnsi="宋体"/>
          <w:sz w:val="24"/>
        </w:rPr>
        <w:t>年    月   日</w:t>
      </w:r>
    </w:p>
    <w:p>
      <w:pPr>
        <w:pStyle w:val="2"/>
        <w:rPr>
          <w:rFonts w:hint="eastAsia" w:ascii="宋体" w:hAnsi="宋体"/>
          <w:sz w:val="24"/>
        </w:rPr>
      </w:pPr>
    </w:p>
    <w:p>
      <w:pPr>
        <w:pStyle w:val="2"/>
        <w:rPr>
          <w:rFonts w:hint="eastAsia" w:ascii="宋体" w:hAnsi="宋体"/>
          <w:sz w:val="24"/>
        </w:rPr>
      </w:pPr>
    </w:p>
    <w:p>
      <w:pPr>
        <w:pStyle w:val="2"/>
        <w:rPr>
          <w:rFonts w:hint="eastAsia" w:ascii="宋体" w:hAnsi="宋体"/>
          <w:sz w:val="24"/>
        </w:rPr>
      </w:pPr>
    </w:p>
    <w:p>
      <w:pPr>
        <w:pStyle w:val="2"/>
        <w:rPr>
          <w:rFonts w:hint="eastAsia" w:ascii="宋体" w:hAnsi="宋体"/>
          <w:sz w:val="24"/>
        </w:rPr>
      </w:pPr>
    </w:p>
    <w:p>
      <w:pPr>
        <w:pStyle w:val="2"/>
        <w:rPr>
          <w:rFonts w:hint="eastAsia" w:ascii="宋体" w:hAnsi="宋体"/>
          <w:sz w:val="24"/>
        </w:rPr>
      </w:pPr>
    </w:p>
    <w:p>
      <w:pPr>
        <w:pStyle w:val="2"/>
        <w:rPr>
          <w:rFonts w:hint="eastAsia" w:ascii="宋体" w:hAnsi="宋体"/>
          <w:sz w:val="24"/>
        </w:rPr>
      </w:pPr>
    </w:p>
    <w:p>
      <w:pPr>
        <w:pStyle w:val="2"/>
        <w:rPr>
          <w:rFonts w:hint="eastAsia" w:ascii="宋体" w:hAnsi="宋体"/>
          <w:sz w:val="24"/>
        </w:rPr>
      </w:pPr>
    </w:p>
    <w:p>
      <w:pPr>
        <w:pStyle w:val="2"/>
        <w:ind w:left="0" w:leftChars="0" w:firstLine="0" w:firstLineChars="0"/>
        <w:jc w:val="left"/>
        <w:rPr>
          <w:rFonts w:hint="eastAsia" w:ascii="方正黑体_GBK" w:hAnsi="方正黑体_GBK" w:eastAsia="方正黑体_GBK" w:cs="方正黑体_GBK"/>
          <w:sz w:val="44"/>
          <w:szCs w:val="44"/>
          <w:lang w:val="en-US" w:eastAsia="zh-CN"/>
        </w:rPr>
      </w:pPr>
      <w:r>
        <w:rPr>
          <w:rFonts w:hint="eastAsia" w:ascii="方正黑体_GBK" w:hAnsi="方正黑体_GBK" w:eastAsia="方正黑体_GBK" w:cs="方正黑体_GBK"/>
          <w:sz w:val="44"/>
          <w:szCs w:val="44"/>
          <w:lang w:val="en-US" w:eastAsia="zh-CN"/>
        </w:rPr>
        <w:t>附件3：</w:t>
      </w:r>
    </w:p>
    <w:p>
      <w:pPr>
        <w:pStyle w:val="2"/>
        <w:ind w:left="0" w:leftChars="0" w:firstLine="0" w:firstLineChars="0"/>
        <w:jc w:val="center"/>
        <w:rPr>
          <w:rFonts w:hint="eastAsia" w:ascii="方正黑体_GBK" w:hAnsi="方正黑体_GBK" w:eastAsia="方正黑体_GBK" w:cs="方正黑体_GBK"/>
          <w:sz w:val="44"/>
          <w:szCs w:val="44"/>
        </w:rPr>
      </w:pPr>
      <w:r>
        <w:rPr>
          <w:rFonts w:hint="eastAsia" w:ascii="方正黑体_GBK" w:hAnsi="方正黑体_GBK" w:eastAsia="方正黑体_GBK" w:cs="方正黑体_GBK"/>
          <w:sz w:val="44"/>
          <w:szCs w:val="44"/>
        </w:rPr>
        <w:t>售后服务承诺</w:t>
      </w:r>
    </w:p>
    <w:p>
      <w:pPr>
        <w:spacing w:line="400" w:lineRule="exact"/>
        <w:rPr>
          <w:rFonts w:hint="eastAsia" w:ascii="宋体" w:hAnsi="宋体"/>
          <w:sz w:val="24"/>
          <w:lang w:eastAsia="zh-CN"/>
        </w:rPr>
      </w:pPr>
    </w:p>
    <w:p>
      <w:pPr>
        <w:spacing w:line="400" w:lineRule="exact"/>
        <w:rPr>
          <w:rFonts w:hint="eastAsia" w:ascii="宋体" w:hAnsi="宋体"/>
          <w:sz w:val="24"/>
        </w:rPr>
      </w:pPr>
      <w:r>
        <w:rPr>
          <w:rFonts w:hint="eastAsia" w:ascii="宋体" w:hAnsi="宋体"/>
          <w:sz w:val="24"/>
          <w:lang w:eastAsia="zh-CN"/>
        </w:rPr>
        <w:t>宿州</w:t>
      </w:r>
      <w:r>
        <w:rPr>
          <w:rFonts w:hint="eastAsia" w:ascii="宋体" w:hAnsi="宋体"/>
          <w:sz w:val="24"/>
        </w:rPr>
        <w:t>市市场监督管理局：</w:t>
      </w:r>
    </w:p>
    <w:p>
      <w:pPr>
        <w:spacing w:line="400" w:lineRule="exact"/>
        <w:ind w:left="0" w:leftChars="0" w:firstLine="638" w:firstLineChars="266"/>
        <w:rPr>
          <w:rFonts w:hint="eastAsia" w:ascii="宋体" w:hAnsi="宋体"/>
          <w:sz w:val="24"/>
        </w:rPr>
      </w:pPr>
      <w:r>
        <w:rPr>
          <w:rFonts w:hint="eastAsia" w:ascii="宋体" w:hAnsi="宋体"/>
          <w:sz w:val="24"/>
        </w:rPr>
        <w:t>本公司已经收到贵单位</w:t>
      </w:r>
      <w:r>
        <w:rPr>
          <w:rFonts w:hint="eastAsia" w:ascii="宋体" w:hAnsi="宋体"/>
          <w:sz w:val="24"/>
          <w:u w:val="single"/>
          <w:lang w:val="en-US" w:eastAsia="zh-CN"/>
        </w:rPr>
        <w:t xml:space="preserve"> </w:t>
      </w:r>
      <w:r>
        <w:rPr>
          <w:rFonts w:hint="eastAsia" w:ascii="宋体" w:hAnsi="宋体"/>
          <w:sz w:val="24"/>
          <w:u w:val="single"/>
          <w:lang w:eastAsia="zh-CN"/>
        </w:rPr>
        <w:t>宿州</w:t>
      </w:r>
      <w:r>
        <w:rPr>
          <w:rFonts w:hint="eastAsia" w:ascii="宋体" w:hAnsi="宋体"/>
          <w:sz w:val="24"/>
          <w:u w:val="single"/>
        </w:rPr>
        <w:t>市市场监督管理局</w:t>
      </w:r>
      <w:r>
        <w:rPr>
          <w:rFonts w:hint="eastAsia" w:ascii="宋体" w:hAnsi="宋体"/>
          <w:sz w:val="24"/>
          <w:u w:val="single"/>
          <w:lang w:eastAsia="zh-CN"/>
        </w:rPr>
        <w:t>宿州市智慧市场监管</w:t>
      </w:r>
      <w:r>
        <w:rPr>
          <w:rFonts w:hint="eastAsia" w:ascii="宋体" w:hAnsi="宋体"/>
          <w:sz w:val="24"/>
          <w:u w:val="single"/>
        </w:rPr>
        <w:t>系统网络安全等级保护测评服务项目</w:t>
      </w:r>
      <w:r>
        <w:rPr>
          <w:rFonts w:hint="eastAsia" w:ascii="宋体" w:hAnsi="宋体"/>
          <w:sz w:val="24"/>
          <w:u w:val="single"/>
          <w:lang w:val="en-US" w:eastAsia="zh-CN"/>
        </w:rPr>
        <w:t xml:space="preserve"> </w:t>
      </w:r>
      <w:r>
        <w:rPr>
          <w:rFonts w:hint="eastAsia" w:ascii="宋体" w:hAnsi="宋体"/>
          <w:sz w:val="24"/>
        </w:rPr>
        <w:t>的采购公告，我方已研究了该公告的全部内容，</w:t>
      </w:r>
      <w:r>
        <w:rPr>
          <w:rFonts w:hint="eastAsia" w:ascii="宋体" w:hAnsi="宋体"/>
          <w:sz w:val="24"/>
          <w:lang w:eastAsia="zh-CN"/>
        </w:rPr>
        <w:t>如中标，</w:t>
      </w:r>
      <w:r>
        <w:rPr>
          <w:rFonts w:hint="eastAsia" w:ascii="宋体" w:hAnsi="宋体"/>
          <w:sz w:val="24"/>
        </w:rPr>
        <w:t>本公司承诺</w:t>
      </w:r>
      <w:r>
        <w:rPr>
          <w:rFonts w:hint="eastAsia" w:ascii="宋体" w:hAnsi="宋体"/>
          <w:sz w:val="24"/>
          <w:lang w:eastAsia="zh-CN"/>
        </w:rPr>
        <w:t>提供以下售后服务</w:t>
      </w:r>
      <w:r>
        <w:rPr>
          <w:rFonts w:hint="eastAsia" w:ascii="宋体" w:hAnsi="宋体"/>
          <w:sz w:val="24"/>
        </w:rPr>
        <w:t>：</w:t>
      </w:r>
    </w:p>
    <w:p>
      <w:pPr>
        <w:pStyle w:val="2"/>
        <w:rPr>
          <w:rFonts w:hint="eastAsia" w:ascii="宋体" w:hAnsi="宋体"/>
          <w:sz w:val="24"/>
          <w:lang w:val="en-US" w:eastAsia="zh-CN"/>
        </w:rPr>
      </w:pPr>
    </w:p>
    <w:p>
      <w:pPr>
        <w:pStyle w:val="2"/>
        <w:rPr>
          <w:rFonts w:hint="eastAsia" w:ascii="宋体" w:hAnsi="宋体"/>
          <w:sz w:val="24"/>
          <w:lang w:val="en-US" w:eastAsia="zh-CN"/>
        </w:rPr>
      </w:pPr>
    </w:p>
    <w:p>
      <w:pPr>
        <w:pStyle w:val="2"/>
        <w:rPr>
          <w:rFonts w:hint="eastAsia" w:ascii="宋体" w:hAnsi="宋体"/>
          <w:sz w:val="24"/>
          <w:lang w:val="en-US" w:eastAsia="zh-CN"/>
        </w:rPr>
      </w:pPr>
    </w:p>
    <w:p>
      <w:pPr>
        <w:pStyle w:val="2"/>
        <w:rPr>
          <w:rFonts w:hint="eastAsia" w:ascii="宋体" w:hAnsi="宋体"/>
          <w:sz w:val="24"/>
          <w:lang w:val="en-US" w:eastAsia="zh-CN"/>
        </w:rPr>
      </w:pPr>
    </w:p>
    <w:p>
      <w:pPr>
        <w:pStyle w:val="2"/>
        <w:rPr>
          <w:rFonts w:hint="eastAsia" w:ascii="宋体" w:hAnsi="宋体"/>
          <w:sz w:val="24"/>
          <w:lang w:val="en-US" w:eastAsia="zh-CN"/>
        </w:rPr>
      </w:pPr>
    </w:p>
    <w:p>
      <w:pPr>
        <w:pStyle w:val="2"/>
        <w:rPr>
          <w:rFonts w:hint="eastAsia" w:ascii="宋体" w:hAnsi="宋体"/>
          <w:sz w:val="24"/>
          <w:lang w:val="en-US" w:eastAsia="zh-CN"/>
        </w:rPr>
      </w:pPr>
    </w:p>
    <w:p>
      <w:pPr>
        <w:pStyle w:val="2"/>
        <w:rPr>
          <w:rFonts w:hint="eastAsia" w:ascii="宋体" w:hAnsi="宋体"/>
          <w:sz w:val="24"/>
          <w:lang w:val="en-US" w:eastAsia="zh-CN"/>
        </w:rPr>
      </w:pPr>
    </w:p>
    <w:p>
      <w:pPr>
        <w:pStyle w:val="2"/>
        <w:rPr>
          <w:rFonts w:hint="eastAsia" w:ascii="宋体" w:hAnsi="宋体"/>
          <w:sz w:val="24"/>
          <w:lang w:val="en-US" w:eastAsia="zh-CN"/>
        </w:rPr>
      </w:pPr>
    </w:p>
    <w:p>
      <w:pPr>
        <w:pStyle w:val="2"/>
        <w:rPr>
          <w:rFonts w:hint="eastAsia" w:ascii="宋体" w:hAnsi="宋体"/>
          <w:sz w:val="24"/>
          <w:lang w:val="en-US" w:eastAsia="zh-CN"/>
        </w:rPr>
      </w:pPr>
    </w:p>
    <w:p>
      <w:pPr>
        <w:pStyle w:val="2"/>
        <w:rPr>
          <w:rFonts w:hint="eastAsia" w:ascii="宋体" w:hAnsi="宋体"/>
          <w:sz w:val="24"/>
          <w:lang w:val="en-US" w:eastAsia="zh-CN"/>
        </w:rPr>
      </w:pPr>
    </w:p>
    <w:p>
      <w:pPr>
        <w:pStyle w:val="2"/>
        <w:rPr>
          <w:rFonts w:hint="eastAsia" w:ascii="宋体" w:hAnsi="宋体"/>
          <w:sz w:val="24"/>
          <w:lang w:val="en-US" w:eastAsia="zh-CN"/>
        </w:rPr>
      </w:pPr>
    </w:p>
    <w:p>
      <w:pPr>
        <w:pStyle w:val="2"/>
        <w:rPr>
          <w:rFonts w:hint="eastAsia" w:ascii="宋体" w:hAnsi="宋体"/>
          <w:sz w:val="24"/>
          <w:lang w:val="en-US" w:eastAsia="zh-CN"/>
        </w:rPr>
      </w:pPr>
    </w:p>
    <w:p>
      <w:pPr>
        <w:pStyle w:val="2"/>
        <w:rPr>
          <w:rFonts w:hint="eastAsia" w:eastAsia="宋体"/>
          <w:lang w:val="en-US" w:eastAsia="zh-CN"/>
        </w:rPr>
      </w:pPr>
    </w:p>
    <w:p>
      <w:pPr>
        <w:spacing w:line="400" w:lineRule="exact"/>
        <w:rPr>
          <w:rFonts w:hint="eastAsia" w:ascii="宋体" w:hAnsi="宋体"/>
          <w:sz w:val="24"/>
        </w:rPr>
      </w:pPr>
    </w:p>
    <w:p>
      <w:pPr>
        <w:spacing w:line="400" w:lineRule="exact"/>
        <w:rPr>
          <w:rFonts w:hint="eastAsia" w:ascii="宋体" w:hAnsi="宋体"/>
          <w:sz w:val="24"/>
        </w:rPr>
      </w:pPr>
    </w:p>
    <w:p>
      <w:pPr>
        <w:spacing w:beforeLines="50" w:afterLines="50" w:line="400" w:lineRule="exact"/>
        <w:ind w:left="482"/>
        <w:rPr>
          <w:rFonts w:hint="eastAsia" w:ascii="宋体" w:hAnsi="宋体"/>
          <w:sz w:val="24"/>
        </w:rPr>
      </w:pPr>
      <w:r>
        <w:rPr>
          <w:rFonts w:hint="eastAsia" w:ascii="宋体" w:hAnsi="宋体"/>
          <w:sz w:val="24"/>
        </w:rPr>
        <w:t>联系人签字：</w:t>
      </w:r>
    </w:p>
    <w:p>
      <w:pPr>
        <w:spacing w:line="400" w:lineRule="exact"/>
        <w:ind w:left="480"/>
        <w:rPr>
          <w:rFonts w:hint="eastAsia" w:ascii="宋体" w:hAnsi="宋体"/>
          <w:sz w:val="24"/>
        </w:rPr>
      </w:pPr>
    </w:p>
    <w:p>
      <w:pPr>
        <w:spacing w:line="400" w:lineRule="exact"/>
        <w:ind w:left="480"/>
        <w:rPr>
          <w:rFonts w:hint="eastAsia" w:ascii="宋体" w:hAnsi="宋体"/>
          <w:sz w:val="24"/>
        </w:rPr>
      </w:pPr>
      <w:r>
        <w:rPr>
          <w:rFonts w:hint="eastAsia" w:ascii="宋体" w:hAnsi="宋体"/>
          <w:sz w:val="24"/>
        </w:rPr>
        <w:t>联系电话：                         手机：</w:t>
      </w:r>
    </w:p>
    <w:p>
      <w:pPr>
        <w:wordWrap w:val="0"/>
        <w:spacing w:afterLines="100" w:line="400" w:lineRule="exact"/>
        <w:ind w:firstLine="540" w:firstLineChars="225"/>
        <w:jc w:val="right"/>
        <w:rPr>
          <w:rFonts w:hint="eastAsia" w:ascii="宋体" w:hAnsi="宋体"/>
          <w:sz w:val="24"/>
        </w:rPr>
      </w:pPr>
    </w:p>
    <w:p>
      <w:pPr>
        <w:wordWrap w:val="0"/>
        <w:spacing w:afterLines="100" w:line="400" w:lineRule="exact"/>
        <w:rPr>
          <w:rFonts w:hint="eastAsia" w:ascii="宋体" w:hAnsi="宋体"/>
          <w:sz w:val="24"/>
        </w:rPr>
      </w:pPr>
    </w:p>
    <w:p>
      <w:pPr>
        <w:wordWrap w:val="0"/>
        <w:spacing w:afterLines="100" w:line="400" w:lineRule="exact"/>
        <w:ind w:firstLine="540" w:firstLineChars="225"/>
        <w:jc w:val="right"/>
        <w:rPr>
          <w:rFonts w:hint="eastAsia" w:ascii="宋体" w:hAnsi="宋体"/>
          <w:sz w:val="24"/>
        </w:rPr>
      </w:pPr>
    </w:p>
    <w:p>
      <w:pPr>
        <w:wordWrap w:val="0"/>
        <w:spacing w:afterLines="100" w:line="400" w:lineRule="exact"/>
        <w:ind w:firstLine="540" w:firstLineChars="225"/>
        <w:jc w:val="right"/>
        <w:rPr>
          <w:rFonts w:hint="eastAsia" w:ascii="宋体" w:hAnsi="宋体"/>
          <w:sz w:val="24"/>
        </w:rPr>
      </w:pPr>
      <w:r>
        <w:rPr>
          <w:rFonts w:hint="eastAsia" w:ascii="宋体" w:hAnsi="宋体"/>
          <w:sz w:val="24"/>
        </w:rPr>
        <w:t xml:space="preserve">（公司盖章）         </w:t>
      </w:r>
    </w:p>
    <w:p>
      <w:pPr>
        <w:spacing w:line="360" w:lineRule="auto"/>
        <w:ind w:firstLine="6600" w:firstLineChars="2750"/>
        <w:jc w:val="left"/>
        <w:rPr>
          <w:rFonts w:hint="eastAsia" w:ascii="仿宋_GB2312" w:hAnsi="仿宋" w:eastAsia="仿宋_GB2312" w:cs="仿宋"/>
          <w:bCs/>
          <w:sz w:val="32"/>
          <w:szCs w:val="32"/>
          <w:lang w:eastAsia="zh-CN"/>
        </w:rPr>
      </w:pPr>
      <w:r>
        <w:rPr>
          <w:rFonts w:hint="eastAsia" w:ascii="宋体" w:hAnsi="宋体"/>
          <w:sz w:val="24"/>
        </w:rPr>
        <w:t>年    月   日</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altName w:val="Arial Unicode MS"/>
    <w:panose1 w:val="03000509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F43382"/>
    <w:multiLevelType w:val="singleLevel"/>
    <w:tmpl w:val="64F43382"/>
    <w:lvl w:ilvl="0" w:tentative="0">
      <w:start w:val="1"/>
      <w:numFmt w:val="decimal"/>
      <w:lvlText w:val="%1、"/>
      <w:lvlJc w:val="left"/>
      <w:pPr>
        <w:tabs>
          <w:tab w:val="left" w:pos="855"/>
        </w:tabs>
        <w:ind w:left="855" w:hanging="375"/>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505"/>
    <w:rsid w:val="00007913"/>
    <w:rsid w:val="00022E5D"/>
    <w:rsid w:val="00041495"/>
    <w:rsid w:val="00061CF6"/>
    <w:rsid w:val="0007080C"/>
    <w:rsid w:val="000A4ACF"/>
    <w:rsid w:val="000D3665"/>
    <w:rsid w:val="000E398C"/>
    <w:rsid w:val="000F7148"/>
    <w:rsid w:val="001670BA"/>
    <w:rsid w:val="00191AFF"/>
    <w:rsid w:val="001967AF"/>
    <w:rsid w:val="00197B2B"/>
    <w:rsid w:val="001D5AD0"/>
    <w:rsid w:val="002011BE"/>
    <w:rsid w:val="00205FE6"/>
    <w:rsid w:val="0022184E"/>
    <w:rsid w:val="00224A5A"/>
    <w:rsid w:val="00226388"/>
    <w:rsid w:val="00240BA5"/>
    <w:rsid w:val="00277C71"/>
    <w:rsid w:val="002A64F2"/>
    <w:rsid w:val="002F79B7"/>
    <w:rsid w:val="00320F5B"/>
    <w:rsid w:val="00337B86"/>
    <w:rsid w:val="00351754"/>
    <w:rsid w:val="00367132"/>
    <w:rsid w:val="003A28C3"/>
    <w:rsid w:val="003E29A9"/>
    <w:rsid w:val="00442926"/>
    <w:rsid w:val="00446B6E"/>
    <w:rsid w:val="00461C0D"/>
    <w:rsid w:val="004835F7"/>
    <w:rsid w:val="004A2473"/>
    <w:rsid w:val="00502E3B"/>
    <w:rsid w:val="005C5708"/>
    <w:rsid w:val="005C7C28"/>
    <w:rsid w:val="005D7993"/>
    <w:rsid w:val="005F5997"/>
    <w:rsid w:val="005F6375"/>
    <w:rsid w:val="0065077A"/>
    <w:rsid w:val="006A3EF1"/>
    <w:rsid w:val="00716159"/>
    <w:rsid w:val="007267D4"/>
    <w:rsid w:val="00742637"/>
    <w:rsid w:val="007C2945"/>
    <w:rsid w:val="007C2CEB"/>
    <w:rsid w:val="00811AB0"/>
    <w:rsid w:val="0082500E"/>
    <w:rsid w:val="00836505"/>
    <w:rsid w:val="00887D4D"/>
    <w:rsid w:val="008F2006"/>
    <w:rsid w:val="0091074D"/>
    <w:rsid w:val="00915ACC"/>
    <w:rsid w:val="00A52E99"/>
    <w:rsid w:val="00AD579F"/>
    <w:rsid w:val="00B46E14"/>
    <w:rsid w:val="00B70B44"/>
    <w:rsid w:val="00B86CE9"/>
    <w:rsid w:val="00BB56AD"/>
    <w:rsid w:val="00C24F14"/>
    <w:rsid w:val="00C638B0"/>
    <w:rsid w:val="00C92421"/>
    <w:rsid w:val="00CC2802"/>
    <w:rsid w:val="00CF65FF"/>
    <w:rsid w:val="00D070F5"/>
    <w:rsid w:val="00D6438C"/>
    <w:rsid w:val="00E268DA"/>
    <w:rsid w:val="00E467DE"/>
    <w:rsid w:val="00E50410"/>
    <w:rsid w:val="00EE28DD"/>
    <w:rsid w:val="00EE3322"/>
    <w:rsid w:val="00EF50A9"/>
    <w:rsid w:val="00F45853"/>
    <w:rsid w:val="00FE791C"/>
    <w:rsid w:val="00FF05EE"/>
    <w:rsid w:val="01193A2F"/>
    <w:rsid w:val="016E2262"/>
    <w:rsid w:val="018172CA"/>
    <w:rsid w:val="01B3106F"/>
    <w:rsid w:val="01C85DB6"/>
    <w:rsid w:val="02310368"/>
    <w:rsid w:val="02530D17"/>
    <w:rsid w:val="02970227"/>
    <w:rsid w:val="02AC0F11"/>
    <w:rsid w:val="02BB6BDD"/>
    <w:rsid w:val="02FA3FB9"/>
    <w:rsid w:val="03300954"/>
    <w:rsid w:val="04264426"/>
    <w:rsid w:val="04274787"/>
    <w:rsid w:val="0467093E"/>
    <w:rsid w:val="050B0D1C"/>
    <w:rsid w:val="0535077A"/>
    <w:rsid w:val="053A3EA3"/>
    <w:rsid w:val="053E1419"/>
    <w:rsid w:val="057F5851"/>
    <w:rsid w:val="058F5110"/>
    <w:rsid w:val="05B23223"/>
    <w:rsid w:val="05FC4A40"/>
    <w:rsid w:val="06063512"/>
    <w:rsid w:val="06123EDE"/>
    <w:rsid w:val="063226D9"/>
    <w:rsid w:val="07067F60"/>
    <w:rsid w:val="073265A8"/>
    <w:rsid w:val="077A01E2"/>
    <w:rsid w:val="07C24718"/>
    <w:rsid w:val="07F475C7"/>
    <w:rsid w:val="082E19E9"/>
    <w:rsid w:val="0872089C"/>
    <w:rsid w:val="087A0B69"/>
    <w:rsid w:val="08E344E5"/>
    <w:rsid w:val="08ED2FB4"/>
    <w:rsid w:val="09162DC1"/>
    <w:rsid w:val="091D4611"/>
    <w:rsid w:val="091E043A"/>
    <w:rsid w:val="0976090F"/>
    <w:rsid w:val="0979166A"/>
    <w:rsid w:val="09AA066D"/>
    <w:rsid w:val="09EE6E0E"/>
    <w:rsid w:val="0A01548C"/>
    <w:rsid w:val="0A2A5210"/>
    <w:rsid w:val="0A4A0C08"/>
    <w:rsid w:val="0A704AE5"/>
    <w:rsid w:val="0A9A42D6"/>
    <w:rsid w:val="0B293C1F"/>
    <w:rsid w:val="0BA10E2F"/>
    <w:rsid w:val="0BB713C5"/>
    <w:rsid w:val="0C3603A7"/>
    <w:rsid w:val="0C941A13"/>
    <w:rsid w:val="0CE4598E"/>
    <w:rsid w:val="0CE7690F"/>
    <w:rsid w:val="0D844AA6"/>
    <w:rsid w:val="0DF82C47"/>
    <w:rsid w:val="0E22224E"/>
    <w:rsid w:val="0E2264B3"/>
    <w:rsid w:val="0E3B0D47"/>
    <w:rsid w:val="0EDD2A44"/>
    <w:rsid w:val="0F053990"/>
    <w:rsid w:val="0F0D1A3F"/>
    <w:rsid w:val="0F32331E"/>
    <w:rsid w:val="0F67569F"/>
    <w:rsid w:val="0FBF168F"/>
    <w:rsid w:val="100E0513"/>
    <w:rsid w:val="10282DF0"/>
    <w:rsid w:val="10514E37"/>
    <w:rsid w:val="105E7962"/>
    <w:rsid w:val="10AF42A4"/>
    <w:rsid w:val="11356CAF"/>
    <w:rsid w:val="113826AD"/>
    <w:rsid w:val="116D0AA7"/>
    <w:rsid w:val="11A1228D"/>
    <w:rsid w:val="11A71B98"/>
    <w:rsid w:val="12363703"/>
    <w:rsid w:val="1250245C"/>
    <w:rsid w:val="13B737A4"/>
    <w:rsid w:val="13D5263A"/>
    <w:rsid w:val="14152349"/>
    <w:rsid w:val="144561C9"/>
    <w:rsid w:val="14625DEA"/>
    <w:rsid w:val="14874551"/>
    <w:rsid w:val="149B6F99"/>
    <w:rsid w:val="14A02270"/>
    <w:rsid w:val="14DC1004"/>
    <w:rsid w:val="14F16750"/>
    <w:rsid w:val="15164E72"/>
    <w:rsid w:val="153D54EA"/>
    <w:rsid w:val="155927DC"/>
    <w:rsid w:val="15666D15"/>
    <w:rsid w:val="15A22FD2"/>
    <w:rsid w:val="15CF2BFE"/>
    <w:rsid w:val="161060D8"/>
    <w:rsid w:val="16165ED9"/>
    <w:rsid w:val="166A6337"/>
    <w:rsid w:val="16757694"/>
    <w:rsid w:val="16847999"/>
    <w:rsid w:val="16B65C0C"/>
    <w:rsid w:val="16BB4847"/>
    <w:rsid w:val="173C32C0"/>
    <w:rsid w:val="17786DE4"/>
    <w:rsid w:val="17B224BD"/>
    <w:rsid w:val="17DB6C76"/>
    <w:rsid w:val="180512EB"/>
    <w:rsid w:val="181D17DF"/>
    <w:rsid w:val="18224B7A"/>
    <w:rsid w:val="184B5D94"/>
    <w:rsid w:val="18B7575A"/>
    <w:rsid w:val="18BF7839"/>
    <w:rsid w:val="18C90FA7"/>
    <w:rsid w:val="18D93A6F"/>
    <w:rsid w:val="18E87335"/>
    <w:rsid w:val="199C0E9F"/>
    <w:rsid w:val="1A7A2096"/>
    <w:rsid w:val="1AA55A59"/>
    <w:rsid w:val="1ADA3160"/>
    <w:rsid w:val="1B587C08"/>
    <w:rsid w:val="1C5E6372"/>
    <w:rsid w:val="1C6E6030"/>
    <w:rsid w:val="1CA32B08"/>
    <w:rsid w:val="1CBB5110"/>
    <w:rsid w:val="1CDE7747"/>
    <w:rsid w:val="1D077D65"/>
    <w:rsid w:val="1D1B6577"/>
    <w:rsid w:val="1D6A5B9D"/>
    <w:rsid w:val="1DB1508A"/>
    <w:rsid w:val="1E4A084B"/>
    <w:rsid w:val="1EE6139B"/>
    <w:rsid w:val="1F5553C1"/>
    <w:rsid w:val="1FB36D1C"/>
    <w:rsid w:val="1FC36BBD"/>
    <w:rsid w:val="20270E7C"/>
    <w:rsid w:val="204E3F5D"/>
    <w:rsid w:val="20992E7B"/>
    <w:rsid w:val="209D3F5F"/>
    <w:rsid w:val="20E85BCD"/>
    <w:rsid w:val="210061B1"/>
    <w:rsid w:val="210470E8"/>
    <w:rsid w:val="210C4DE3"/>
    <w:rsid w:val="21166C7D"/>
    <w:rsid w:val="213364E8"/>
    <w:rsid w:val="21342FCC"/>
    <w:rsid w:val="216667E7"/>
    <w:rsid w:val="21937DF1"/>
    <w:rsid w:val="21C70ED4"/>
    <w:rsid w:val="21CB028D"/>
    <w:rsid w:val="21F052CB"/>
    <w:rsid w:val="220807A6"/>
    <w:rsid w:val="221168B4"/>
    <w:rsid w:val="227673DC"/>
    <w:rsid w:val="23821C40"/>
    <w:rsid w:val="23AE13EB"/>
    <w:rsid w:val="23B620A7"/>
    <w:rsid w:val="23FB390C"/>
    <w:rsid w:val="24F10536"/>
    <w:rsid w:val="250C3437"/>
    <w:rsid w:val="25780845"/>
    <w:rsid w:val="26611218"/>
    <w:rsid w:val="2747043A"/>
    <w:rsid w:val="276F2B61"/>
    <w:rsid w:val="279707AA"/>
    <w:rsid w:val="279F3F11"/>
    <w:rsid w:val="27C9135E"/>
    <w:rsid w:val="27F55BEC"/>
    <w:rsid w:val="280272DB"/>
    <w:rsid w:val="286D7804"/>
    <w:rsid w:val="288F5331"/>
    <w:rsid w:val="28976411"/>
    <w:rsid w:val="28B5280E"/>
    <w:rsid w:val="28CA2B0A"/>
    <w:rsid w:val="28FB17E0"/>
    <w:rsid w:val="29094707"/>
    <w:rsid w:val="294E116A"/>
    <w:rsid w:val="294E74C8"/>
    <w:rsid w:val="29514EB5"/>
    <w:rsid w:val="295871E1"/>
    <w:rsid w:val="29CC20BD"/>
    <w:rsid w:val="29EC12BD"/>
    <w:rsid w:val="29ED53F2"/>
    <w:rsid w:val="2AB76A46"/>
    <w:rsid w:val="2ABA6596"/>
    <w:rsid w:val="2AF07A75"/>
    <w:rsid w:val="2BFC6401"/>
    <w:rsid w:val="2C40349F"/>
    <w:rsid w:val="2CA848C9"/>
    <w:rsid w:val="2CCB24D7"/>
    <w:rsid w:val="2CE27FD0"/>
    <w:rsid w:val="2D647297"/>
    <w:rsid w:val="2D6552E5"/>
    <w:rsid w:val="2D757DB6"/>
    <w:rsid w:val="2D827B34"/>
    <w:rsid w:val="2DBB2123"/>
    <w:rsid w:val="2E1C2162"/>
    <w:rsid w:val="2E4E4866"/>
    <w:rsid w:val="2E576A60"/>
    <w:rsid w:val="2E6744C6"/>
    <w:rsid w:val="2EA56ED9"/>
    <w:rsid w:val="2F143039"/>
    <w:rsid w:val="2F2C12E2"/>
    <w:rsid w:val="2F4F30DB"/>
    <w:rsid w:val="2FE0078C"/>
    <w:rsid w:val="2FFE352D"/>
    <w:rsid w:val="303E790E"/>
    <w:rsid w:val="306902A9"/>
    <w:rsid w:val="30B35DCA"/>
    <w:rsid w:val="30C54790"/>
    <w:rsid w:val="30CE240F"/>
    <w:rsid w:val="31116615"/>
    <w:rsid w:val="313E2D4A"/>
    <w:rsid w:val="314D0ACD"/>
    <w:rsid w:val="32B00A09"/>
    <w:rsid w:val="32DF6606"/>
    <w:rsid w:val="33134987"/>
    <w:rsid w:val="331D30CE"/>
    <w:rsid w:val="334C7116"/>
    <w:rsid w:val="33A800D9"/>
    <w:rsid w:val="33BA6416"/>
    <w:rsid w:val="34281205"/>
    <w:rsid w:val="344C0BF4"/>
    <w:rsid w:val="34686B35"/>
    <w:rsid w:val="34D36D15"/>
    <w:rsid w:val="351E4B3A"/>
    <w:rsid w:val="356022F8"/>
    <w:rsid w:val="359C3486"/>
    <w:rsid w:val="35C73E8D"/>
    <w:rsid w:val="35D6132B"/>
    <w:rsid w:val="36130A55"/>
    <w:rsid w:val="362F2D17"/>
    <w:rsid w:val="366130BF"/>
    <w:rsid w:val="36735B2D"/>
    <w:rsid w:val="36954005"/>
    <w:rsid w:val="36B62A91"/>
    <w:rsid w:val="36B73BF4"/>
    <w:rsid w:val="36E552F7"/>
    <w:rsid w:val="371F0A6D"/>
    <w:rsid w:val="37DA4685"/>
    <w:rsid w:val="381C0668"/>
    <w:rsid w:val="384275B9"/>
    <w:rsid w:val="38567D60"/>
    <w:rsid w:val="38737111"/>
    <w:rsid w:val="38896B4E"/>
    <w:rsid w:val="38DA64FF"/>
    <w:rsid w:val="396170E9"/>
    <w:rsid w:val="39E14EBE"/>
    <w:rsid w:val="3A0047B2"/>
    <w:rsid w:val="3A5772D0"/>
    <w:rsid w:val="3A880B51"/>
    <w:rsid w:val="3A95349E"/>
    <w:rsid w:val="3A966127"/>
    <w:rsid w:val="3ADB13AD"/>
    <w:rsid w:val="3B113453"/>
    <w:rsid w:val="3B370815"/>
    <w:rsid w:val="3B450006"/>
    <w:rsid w:val="3B5E5341"/>
    <w:rsid w:val="3B704F50"/>
    <w:rsid w:val="3BAE5BF3"/>
    <w:rsid w:val="3C1D546C"/>
    <w:rsid w:val="3C3D53A8"/>
    <w:rsid w:val="3C4270A9"/>
    <w:rsid w:val="3C5A06CA"/>
    <w:rsid w:val="3CE739BE"/>
    <w:rsid w:val="3D714BB4"/>
    <w:rsid w:val="3D7D2C5D"/>
    <w:rsid w:val="3DC030F4"/>
    <w:rsid w:val="3DC8067E"/>
    <w:rsid w:val="3E083432"/>
    <w:rsid w:val="3E1F36D6"/>
    <w:rsid w:val="3EBA0E34"/>
    <w:rsid w:val="3F3B7ADE"/>
    <w:rsid w:val="3FD333BA"/>
    <w:rsid w:val="3FE20E64"/>
    <w:rsid w:val="3FFF4E57"/>
    <w:rsid w:val="403B2BAB"/>
    <w:rsid w:val="407B1977"/>
    <w:rsid w:val="40A9214C"/>
    <w:rsid w:val="414937EA"/>
    <w:rsid w:val="41C35053"/>
    <w:rsid w:val="41DE5EC6"/>
    <w:rsid w:val="42195384"/>
    <w:rsid w:val="426D4ED4"/>
    <w:rsid w:val="428C4009"/>
    <w:rsid w:val="429B376B"/>
    <w:rsid w:val="42C47B0D"/>
    <w:rsid w:val="42D27B3B"/>
    <w:rsid w:val="42F962D0"/>
    <w:rsid w:val="43427FB7"/>
    <w:rsid w:val="43602B1A"/>
    <w:rsid w:val="43E510C3"/>
    <w:rsid w:val="440A3333"/>
    <w:rsid w:val="445B7CF9"/>
    <w:rsid w:val="4486459F"/>
    <w:rsid w:val="44CF1932"/>
    <w:rsid w:val="44E743D5"/>
    <w:rsid w:val="45243BCD"/>
    <w:rsid w:val="455C6C74"/>
    <w:rsid w:val="45A040B2"/>
    <w:rsid w:val="45EB4683"/>
    <w:rsid w:val="46313958"/>
    <w:rsid w:val="466B3583"/>
    <w:rsid w:val="467102DC"/>
    <w:rsid w:val="467A49E4"/>
    <w:rsid w:val="46D2183F"/>
    <w:rsid w:val="46DD76EC"/>
    <w:rsid w:val="46F11F16"/>
    <w:rsid w:val="46F23FC0"/>
    <w:rsid w:val="472D7149"/>
    <w:rsid w:val="478245B6"/>
    <w:rsid w:val="47837ED0"/>
    <w:rsid w:val="47887F97"/>
    <w:rsid w:val="47B94154"/>
    <w:rsid w:val="47E35BB8"/>
    <w:rsid w:val="481269AC"/>
    <w:rsid w:val="481C7126"/>
    <w:rsid w:val="4826417B"/>
    <w:rsid w:val="486A4CF2"/>
    <w:rsid w:val="489E7D7E"/>
    <w:rsid w:val="48A22C08"/>
    <w:rsid w:val="48D3619C"/>
    <w:rsid w:val="491E6BFE"/>
    <w:rsid w:val="49536ECD"/>
    <w:rsid w:val="496E32E0"/>
    <w:rsid w:val="49872DFB"/>
    <w:rsid w:val="498F0861"/>
    <w:rsid w:val="49E47493"/>
    <w:rsid w:val="4A201700"/>
    <w:rsid w:val="4A4C410F"/>
    <w:rsid w:val="4AD57EF0"/>
    <w:rsid w:val="4B277614"/>
    <w:rsid w:val="4B433F97"/>
    <w:rsid w:val="4B73400D"/>
    <w:rsid w:val="4BC32DCB"/>
    <w:rsid w:val="4BFD0390"/>
    <w:rsid w:val="4C083F7E"/>
    <w:rsid w:val="4C661354"/>
    <w:rsid w:val="4C914571"/>
    <w:rsid w:val="4CB23A14"/>
    <w:rsid w:val="4CFC3055"/>
    <w:rsid w:val="4D2200B9"/>
    <w:rsid w:val="4D371F10"/>
    <w:rsid w:val="4D455C26"/>
    <w:rsid w:val="4D69761F"/>
    <w:rsid w:val="4DC536F6"/>
    <w:rsid w:val="4F5F4EE9"/>
    <w:rsid w:val="4F925DB1"/>
    <w:rsid w:val="4FD67018"/>
    <w:rsid w:val="50010BAC"/>
    <w:rsid w:val="50036AC4"/>
    <w:rsid w:val="50BB7B13"/>
    <w:rsid w:val="50D06E5F"/>
    <w:rsid w:val="50FD02C4"/>
    <w:rsid w:val="51241789"/>
    <w:rsid w:val="51534143"/>
    <w:rsid w:val="515823B6"/>
    <w:rsid w:val="51602210"/>
    <w:rsid w:val="51702C82"/>
    <w:rsid w:val="519B6271"/>
    <w:rsid w:val="51D256DC"/>
    <w:rsid w:val="51E51A33"/>
    <w:rsid w:val="51F45B4E"/>
    <w:rsid w:val="52030575"/>
    <w:rsid w:val="52196342"/>
    <w:rsid w:val="52293094"/>
    <w:rsid w:val="523C5E38"/>
    <w:rsid w:val="52743B6B"/>
    <w:rsid w:val="533F3E0E"/>
    <w:rsid w:val="53D054B4"/>
    <w:rsid w:val="546B71DB"/>
    <w:rsid w:val="547975D2"/>
    <w:rsid w:val="54AB2A41"/>
    <w:rsid w:val="54F15B0E"/>
    <w:rsid w:val="550F71C3"/>
    <w:rsid w:val="554669A5"/>
    <w:rsid w:val="557456E8"/>
    <w:rsid w:val="55A73494"/>
    <w:rsid w:val="55AB1511"/>
    <w:rsid w:val="55BA3DB6"/>
    <w:rsid w:val="55D27F23"/>
    <w:rsid w:val="55FB7332"/>
    <w:rsid w:val="576A2E10"/>
    <w:rsid w:val="580C6D95"/>
    <w:rsid w:val="59043211"/>
    <w:rsid w:val="59087D59"/>
    <w:rsid w:val="59B07CA7"/>
    <w:rsid w:val="59C14D62"/>
    <w:rsid w:val="59DC552C"/>
    <w:rsid w:val="5A194B86"/>
    <w:rsid w:val="5A2A0FAE"/>
    <w:rsid w:val="5A4C427B"/>
    <w:rsid w:val="5A5D2A94"/>
    <w:rsid w:val="5A664544"/>
    <w:rsid w:val="5AFB1733"/>
    <w:rsid w:val="5B1107F6"/>
    <w:rsid w:val="5B97129D"/>
    <w:rsid w:val="5BBC7FF6"/>
    <w:rsid w:val="5BBF488A"/>
    <w:rsid w:val="5BCE3653"/>
    <w:rsid w:val="5BDC05E9"/>
    <w:rsid w:val="5BF35FE8"/>
    <w:rsid w:val="5C2B68F7"/>
    <w:rsid w:val="5C3F7DAA"/>
    <w:rsid w:val="5C467AC7"/>
    <w:rsid w:val="5CEE462A"/>
    <w:rsid w:val="5D1612A2"/>
    <w:rsid w:val="5D4A37C3"/>
    <w:rsid w:val="5D6F1C0B"/>
    <w:rsid w:val="5E136F55"/>
    <w:rsid w:val="5E5E1300"/>
    <w:rsid w:val="5E5E7480"/>
    <w:rsid w:val="5E7B7782"/>
    <w:rsid w:val="5EA83787"/>
    <w:rsid w:val="5EC75517"/>
    <w:rsid w:val="5F164166"/>
    <w:rsid w:val="5F7529AC"/>
    <w:rsid w:val="5FAA6D00"/>
    <w:rsid w:val="5FAD4267"/>
    <w:rsid w:val="5FBD171A"/>
    <w:rsid w:val="5FDA1FF7"/>
    <w:rsid w:val="60383842"/>
    <w:rsid w:val="608C00E8"/>
    <w:rsid w:val="60AB612C"/>
    <w:rsid w:val="60B94594"/>
    <w:rsid w:val="614855D7"/>
    <w:rsid w:val="61AD3240"/>
    <w:rsid w:val="624A5108"/>
    <w:rsid w:val="62956B5E"/>
    <w:rsid w:val="62EA6E6A"/>
    <w:rsid w:val="62FD0815"/>
    <w:rsid w:val="634145FB"/>
    <w:rsid w:val="63485EFA"/>
    <w:rsid w:val="63554AF7"/>
    <w:rsid w:val="63B158C2"/>
    <w:rsid w:val="63BD58D2"/>
    <w:rsid w:val="63E25DDF"/>
    <w:rsid w:val="64243720"/>
    <w:rsid w:val="64400583"/>
    <w:rsid w:val="644260F9"/>
    <w:rsid w:val="6491282F"/>
    <w:rsid w:val="64B23860"/>
    <w:rsid w:val="64CD619B"/>
    <w:rsid w:val="65D02637"/>
    <w:rsid w:val="65E46957"/>
    <w:rsid w:val="667D7218"/>
    <w:rsid w:val="66BF425E"/>
    <w:rsid w:val="67097016"/>
    <w:rsid w:val="67834D75"/>
    <w:rsid w:val="678E0C9A"/>
    <w:rsid w:val="67986A13"/>
    <w:rsid w:val="680E2DD4"/>
    <w:rsid w:val="68177ECE"/>
    <w:rsid w:val="68254747"/>
    <w:rsid w:val="685D5F92"/>
    <w:rsid w:val="688913E5"/>
    <w:rsid w:val="68996011"/>
    <w:rsid w:val="68A83319"/>
    <w:rsid w:val="68D06FEC"/>
    <w:rsid w:val="68D6620F"/>
    <w:rsid w:val="69034360"/>
    <w:rsid w:val="69303502"/>
    <w:rsid w:val="69605E3A"/>
    <w:rsid w:val="69C85F46"/>
    <w:rsid w:val="69D721E6"/>
    <w:rsid w:val="69E5490F"/>
    <w:rsid w:val="6A301BDB"/>
    <w:rsid w:val="6A360B06"/>
    <w:rsid w:val="6AEE7935"/>
    <w:rsid w:val="6B050DCF"/>
    <w:rsid w:val="6B4E448C"/>
    <w:rsid w:val="6B6A16FB"/>
    <w:rsid w:val="6B8B24E8"/>
    <w:rsid w:val="6BDC4747"/>
    <w:rsid w:val="6C434D91"/>
    <w:rsid w:val="6D654FAA"/>
    <w:rsid w:val="6D912A7D"/>
    <w:rsid w:val="6DCD3BCD"/>
    <w:rsid w:val="6DED11D5"/>
    <w:rsid w:val="6E4D404F"/>
    <w:rsid w:val="6E660384"/>
    <w:rsid w:val="6EA64B93"/>
    <w:rsid w:val="6EFF2439"/>
    <w:rsid w:val="6F0550D0"/>
    <w:rsid w:val="6F184379"/>
    <w:rsid w:val="6F3F2541"/>
    <w:rsid w:val="6FA0363A"/>
    <w:rsid w:val="6FA13E64"/>
    <w:rsid w:val="6FC95FE1"/>
    <w:rsid w:val="703E1C67"/>
    <w:rsid w:val="708D51A1"/>
    <w:rsid w:val="70E335D9"/>
    <w:rsid w:val="7154289D"/>
    <w:rsid w:val="716C2933"/>
    <w:rsid w:val="717E57CD"/>
    <w:rsid w:val="71886802"/>
    <w:rsid w:val="723A2941"/>
    <w:rsid w:val="72451B1F"/>
    <w:rsid w:val="73105914"/>
    <w:rsid w:val="736F4EAC"/>
    <w:rsid w:val="73913774"/>
    <w:rsid w:val="73C31EB9"/>
    <w:rsid w:val="742368BE"/>
    <w:rsid w:val="74263E90"/>
    <w:rsid w:val="74916275"/>
    <w:rsid w:val="74B70217"/>
    <w:rsid w:val="74FB4713"/>
    <w:rsid w:val="75256283"/>
    <w:rsid w:val="755A39CA"/>
    <w:rsid w:val="75B80645"/>
    <w:rsid w:val="75DC61DD"/>
    <w:rsid w:val="75FE67B9"/>
    <w:rsid w:val="76754B02"/>
    <w:rsid w:val="76966484"/>
    <w:rsid w:val="76D50B79"/>
    <w:rsid w:val="76E70559"/>
    <w:rsid w:val="76EE48F2"/>
    <w:rsid w:val="76FD524E"/>
    <w:rsid w:val="772C5B9D"/>
    <w:rsid w:val="779B269D"/>
    <w:rsid w:val="77D73CC2"/>
    <w:rsid w:val="77F506E9"/>
    <w:rsid w:val="78623337"/>
    <w:rsid w:val="789027A9"/>
    <w:rsid w:val="78992B49"/>
    <w:rsid w:val="78D452B0"/>
    <w:rsid w:val="78FC50BB"/>
    <w:rsid w:val="791D7BF1"/>
    <w:rsid w:val="7993093F"/>
    <w:rsid w:val="79951880"/>
    <w:rsid w:val="79B84494"/>
    <w:rsid w:val="79FA6B47"/>
    <w:rsid w:val="7A0B1D88"/>
    <w:rsid w:val="7A2F1693"/>
    <w:rsid w:val="7A3D23C2"/>
    <w:rsid w:val="7A7D65F1"/>
    <w:rsid w:val="7B080683"/>
    <w:rsid w:val="7B207ED7"/>
    <w:rsid w:val="7B4E5E4A"/>
    <w:rsid w:val="7B6A46D5"/>
    <w:rsid w:val="7C192590"/>
    <w:rsid w:val="7C7C2D15"/>
    <w:rsid w:val="7CCD2094"/>
    <w:rsid w:val="7CD23335"/>
    <w:rsid w:val="7D2D5DDE"/>
    <w:rsid w:val="7D6472F2"/>
    <w:rsid w:val="7D9C61B7"/>
    <w:rsid w:val="7DB55285"/>
    <w:rsid w:val="7E1A3A0F"/>
    <w:rsid w:val="7E1D31E9"/>
    <w:rsid w:val="7E58110B"/>
    <w:rsid w:val="7F382B0E"/>
    <w:rsid w:val="7F3A2D6C"/>
    <w:rsid w:val="7F3F306F"/>
    <w:rsid w:val="7F4147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4"/>
    <w:link w:val="11"/>
    <w:qFormat/>
    <w:uiPriority w:val="0"/>
    <w:pPr>
      <w:pageBreakBefore/>
      <w:widowControl/>
      <w:spacing w:before="240" w:after="120" w:line="360" w:lineRule="auto"/>
      <w:ind w:left="4125" w:hanging="885"/>
      <w:jc w:val="center"/>
      <w:outlineLvl w:val="0"/>
    </w:pPr>
    <w:rPr>
      <w:b/>
      <w:kern w:val="44"/>
      <w:sz w:val="44"/>
      <w:szCs w:val="20"/>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0"/>
    <w:pPr>
      <w:ind w:firstLine="420"/>
    </w:pPr>
    <w:rPr>
      <w:rFonts w:ascii="Times New Roman" w:hAnsi="Times New Roman"/>
      <w:szCs w:val="20"/>
    </w:rPr>
  </w:style>
  <w:style w:type="paragraph" w:styleId="4">
    <w:name w:val="Body Text"/>
    <w:basedOn w:val="1"/>
    <w:link w:val="12"/>
    <w:unhideWhenUsed/>
    <w:qFormat/>
    <w:uiPriority w:val="99"/>
    <w:pPr>
      <w:spacing w:after="120"/>
    </w:pPr>
  </w:style>
  <w:style w:type="paragraph" w:styleId="5">
    <w:name w:val="footer"/>
    <w:basedOn w:val="1"/>
    <w:link w:val="16"/>
    <w:unhideWhenUsed/>
    <w:qFormat/>
    <w:uiPriority w:val="99"/>
    <w:pPr>
      <w:tabs>
        <w:tab w:val="center" w:pos="4153"/>
        <w:tab w:val="right" w:pos="8306"/>
      </w:tabs>
      <w:snapToGrid w:val="0"/>
      <w:jc w:val="left"/>
    </w:pPr>
    <w:rPr>
      <w:sz w:val="18"/>
      <w:szCs w:val="18"/>
    </w:rPr>
  </w:style>
  <w:style w:type="paragraph" w:styleId="6">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widowControl/>
      <w:spacing w:before="100" w:beforeAutospacing="1" w:after="100" w:afterAutospacing="1"/>
      <w:jc w:val="left"/>
    </w:pPr>
    <w:rPr>
      <w:rFonts w:ascii="宋体" w:hAnsi="宋体" w:cs="宋体"/>
      <w:kern w:val="0"/>
      <w:sz w:val="24"/>
      <w:szCs w:val="24"/>
    </w:rPr>
  </w:style>
  <w:style w:type="paragraph" w:styleId="8">
    <w:name w:val="Body Text First Indent"/>
    <w:basedOn w:val="4"/>
    <w:link w:val="13"/>
    <w:unhideWhenUsed/>
    <w:qFormat/>
    <w:uiPriority w:val="99"/>
    <w:pPr>
      <w:ind w:firstLine="420" w:firstLineChars="100"/>
    </w:pPr>
  </w:style>
  <w:style w:type="character" w:customStyle="1" w:styleId="11">
    <w:name w:val="标题 1 Char"/>
    <w:basedOn w:val="10"/>
    <w:link w:val="3"/>
    <w:qFormat/>
    <w:uiPriority w:val="0"/>
    <w:rPr>
      <w:rFonts w:ascii="Calibri" w:hAnsi="Calibri" w:eastAsia="宋体" w:cs="Times New Roman"/>
      <w:b/>
      <w:kern w:val="44"/>
      <w:sz w:val="44"/>
      <w:szCs w:val="20"/>
    </w:rPr>
  </w:style>
  <w:style w:type="character" w:customStyle="1" w:styleId="12">
    <w:name w:val="正文文本 Char"/>
    <w:basedOn w:val="10"/>
    <w:link w:val="4"/>
    <w:semiHidden/>
    <w:qFormat/>
    <w:uiPriority w:val="99"/>
    <w:rPr>
      <w:rFonts w:ascii="Calibri" w:hAnsi="Calibri" w:eastAsia="宋体" w:cs="Times New Roman"/>
    </w:rPr>
  </w:style>
  <w:style w:type="character" w:customStyle="1" w:styleId="13">
    <w:name w:val="正文首行缩进 Char"/>
    <w:basedOn w:val="12"/>
    <w:link w:val="8"/>
    <w:semiHidden/>
    <w:qFormat/>
    <w:uiPriority w:val="99"/>
    <w:rPr>
      <w:rFonts w:ascii="Calibri" w:hAnsi="Calibri" w:eastAsia="宋体" w:cs="Times New Roman"/>
    </w:rPr>
  </w:style>
  <w:style w:type="paragraph" w:styleId="14">
    <w:name w:val="List Paragraph"/>
    <w:basedOn w:val="1"/>
    <w:qFormat/>
    <w:uiPriority w:val="34"/>
    <w:pPr>
      <w:ind w:firstLine="420" w:firstLineChars="200"/>
    </w:pPr>
  </w:style>
  <w:style w:type="character" w:customStyle="1" w:styleId="15">
    <w:name w:val="页眉 Char"/>
    <w:basedOn w:val="10"/>
    <w:link w:val="6"/>
    <w:qFormat/>
    <w:uiPriority w:val="99"/>
    <w:rPr>
      <w:kern w:val="2"/>
      <w:sz w:val="18"/>
      <w:szCs w:val="18"/>
    </w:rPr>
  </w:style>
  <w:style w:type="character" w:customStyle="1" w:styleId="16">
    <w:name w:val="页脚 Char"/>
    <w:basedOn w:val="10"/>
    <w:link w:val="5"/>
    <w:qFormat/>
    <w:uiPriority w:val="99"/>
    <w:rPr>
      <w:kern w:val="2"/>
      <w:sz w:val="18"/>
      <w:szCs w:val="18"/>
    </w:rPr>
  </w:style>
  <w:style w:type="paragraph" w:customStyle="1" w:styleId="17">
    <w:name w:val="正文_0"/>
    <w:qFormat/>
    <w:uiPriority w:val="0"/>
    <w:pPr>
      <w:widowControl w:val="0"/>
      <w:jc w:val="both"/>
    </w:pPr>
    <w:rPr>
      <w:rFonts w:ascii="Times New Roman" w:hAnsi="Times New Roman" w:eastAsia="宋体" w:cs="Times New Roman"/>
      <w:kern w:val="2"/>
      <w:sz w:val="21"/>
      <w:szCs w:val="20"/>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7</Pages>
  <Words>501</Words>
  <Characters>2859</Characters>
  <Lines>23</Lines>
  <Paragraphs>6</Paragraphs>
  <TotalTime>1</TotalTime>
  <ScaleCrop>false</ScaleCrop>
  <LinksUpToDate>false</LinksUpToDate>
  <CharactersWithSpaces>3354</CharactersWithSpaces>
  <Application>WPS Office_11.1.0.10214_F1E327BC-269C-435d-A152-05C5408002CA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2019-05-24T06:49:00Z</dcterms:created>
  <dc:creator>李飞</dc:creator>
  <cp:lastModifiedBy>三生烟火</cp:lastModifiedBy>
  <dcterms:modified xsi:type="dcterms:W3CDTF">2021-06-17T09:39:56Z</dcterms:modified>
  <cp:revision>116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2052-11.1.0.10214</vt:lpwstr>
  </property>
  <property fmtid="{D5CDD505-2E9C-101B-9397-08002B2CF9AE}" pid="3" name="ICV">
    <vt:lpwstr>AF0810833A1948AABB028B8E406C0182</vt:lpwstr>
  </property>
</Properties>
</file>